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5D000" w14:textId="3EA787C0" w:rsidR="003F0C8E" w:rsidRDefault="005B157C" w:rsidP="009B77DD">
      <w:pPr>
        <w:pStyle w:val="Titel"/>
        <w:spacing w:before="0"/>
      </w:pPr>
      <w:r>
        <w:t>Indeks for udenrigshandelen</w:t>
      </w:r>
    </w:p>
    <w:p w14:paraId="69496903" w14:textId="213CC9E0" w:rsidR="005B157C" w:rsidRPr="005B157C" w:rsidRDefault="005B157C" w:rsidP="005B157C">
      <w:pPr>
        <w:rPr>
          <w:b/>
        </w:rPr>
      </w:pPr>
      <w:r w:rsidRPr="005B157C">
        <w:rPr>
          <w:b/>
        </w:rPr>
        <w:t xml:space="preserve">1 Grundlæggende information om indekset </w:t>
      </w:r>
    </w:p>
    <w:p w14:paraId="404E9033" w14:textId="77777777" w:rsidR="005B157C" w:rsidRPr="005B157C" w:rsidRDefault="005B157C" w:rsidP="005B157C">
      <w:pPr>
        <w:rPr>
          <w:b/>
        </w:rPr>
      </w:pPr>
    </w:p>
    <w:p w14:paraId="20FED4E3" w14:textId="3ABD752F" w:rsidR="005B157C" w:rsidRPr="005B157C" w:rsidRDefault="005B157C" w:rsidP="005B157C">
      <w:pPr>
        <w:rPr>
          <w:b/>
        </w:rPr>
      </w:pPr>
      <w:r w:rsidRPr="005B157C">
        <w:rPr>
          <w:b/>
        </w:rPr>
        <w:t>1.1 Navn</w:t>
      </w:r>
    </w:p>
    <w:p w14:paraId="6B39D291" w14:textId="77777777" w:rsidR="005B157C" w:rsidRPr="005B157C" w:rsidRDefault="005B157C" w:rsidP="005B157C">
      <w:pPr>
        <w:rPr>
          <w:b/>
        </w:rPr>
      </w:pPr>
    </w:p>
    <w:p w14:paraId="244FF72B" w14:textId="77777777" w:rsidR="005B157C" w:rsidRDefault="005B157C" w:rsidP="005B157C">
      <w:r>
        <w:t>Indeks for udenrigshandelen.</w:t>
      </w:r>
    </w:p>
    <w:p w14:paraId="2AC9F514" w14:textId="77777777" w:rsidR="005B157C" w:rsidRDefault="005B157C" w:rsidP="005B157C"/>
    <w:p w14:paraId="20CBCC8B" w14:textId="39195142" w:rsidR="005B157C" w:rsidRPr="005B157C" w:rsidRDefault="005B157C" w:rsidP="005B157C">
      <w:pPr>
        <w:rPr>
          <w:b/>
        </w:rPr>
      </w:pPr>
      <w:r w:rsidRPr="005B157C">
        <w:rPr>
          <w:b/>
        </w:rPr>
        <w:t>1.2 Formål</w:t>
      </w:r>
    </w:p>
    <w:p w14:paraId="4572C6E3" w14:textId="77777777" w:rsidR="005B157C" w:rsidRDefault="005B157C" w:rsidP="005B157C"/>
    <w:p w14:paraId="5F44DCDD" w14:textId="5A1C1E83" w:rsidR="005B157C" w:rsidRDefault="005B157C" w:rsidP="005B157C">
      <w:r>
        <w:t>Indeks for udenrigshandelen beregnes for at belyse den mængde</w:t>
      </w:r>
      <w:r w:rsidR="00C502C7">
        <w:t>-</w:t>
      </w:r>
      <w:r>
        <w:t xml:space="preserve"> og prismæssige udvikling i udenrigshandelen. Disse udviklinger er udtrykt ved henholdsvis </w:t>
      </w:r>
      <w:r w:rsidR="00C502C7">
        <w:t xml:space="preserve">et </w:t>
      </w:r>
      <w:r>
        <w:t>enhedsværdiindeks og</w:t>
      </w:r>
      <w:r w:rsidR="00C502C7">
        <w:t xml:space="preserve"> et</w:t>
      </w:r>
      <w:r>
        <w:t xml:space="preserve"> mængdeindeks. </w:t>
      </w:r>
      <w:r w:rsidR="00C502C7">
        <w:t xml:space="preserve">Derudover </w:t>
      </w:r>
      <w:r>
        <w:t>beregnes e</w:t>
      </w:r>
      <w:r w:rsidR="00C502C7">
        <w:t>t</w:t>
      </w:r>
      <w:r>
        <w:t xml:space="preserve"> bytteforhold, der udtrykker forholdet mellem importpriserne og eksportpriserne.</w:t>
      </w:r>
    </w:p>
    <w:p w14:paraId="6FD9E16D" w14:textId="77777777" w:rsidR="005B157C" w:rsidRDefault="005B157C" w:rsidP="005B157C"/>
    <w:p w14:paraId="14A9F5F5" w14:textId="77777777" w:rsidR="005B157C" w:rsidRDefault="005B157C" w:rsidP="005B157C"/>
    <w:p w14:paraId="574D6615" w14:textId="67AA4F35" w:rsidR="00AB0969" w:rsidRPr="00AB0969" w:rsidRDefault="00AB0969" w:rsidP="005B157C">
      <w:pPr>
        <w:rPr>
          <w:b/>
        </w:rPr>
      </w:pPr>
      <w:r w:rsidRPr="00AB0969">
        <w:rPr>
          <w:b/>
        </w:rPr>
        <w:t xml:space="preserve">1.3 Dækning </w:t>
      </w:r>
    </w:p>
    <w:p w14:paraId="4F5228AB" w14:textId="77777777" w:rsidR="00AB0969" w:rsidRDefault="00AB0969" w:rsidP="005B157C"/>
    <w:p w14:paraId="1DEEF753" w14:textId="77777777" w:rsidR="005B10B1" w:rsidRDefault="00AB0969" w:rsidP="005B157C">
      <w:r>
        <w:t xml:space="preserve">Indeksene beregnes på grundlag af udenrigshandelsstatistikken, der alene omfatter Danmark, ekskl. Færøerne og Grønland. Beregningerne foretages på grundlag af oplysningerne om de importerede og eksporterede mængder og værdier for alle 8-cifrede varekoder i EU’s kombinerede nomenklatur. Særlige varegrupper udelades dog af indeksberegningerne, hvis varerne ikke er egnet til at indgå i beregningerne. Dette gælder blandt andet skibe over 250 bruttoregistertons, fly, bore- og produktionsplatforme samt fortrolige forsendelser. Herudover er der i enkelte tilfælde ikke medtaget varer, der udviser en abnorm udvikling i enhedsværdierne. </w:t>
      </w:r>
    </w:p>
    <w:p w14:paraId="646AF88C" w14:textId="77777777" w:rsidR="00AB0969" w:rsidRDefault="00AB0969" w:rsidP="005B157C"/>
    <w:p w14:paraId="76CDF8AF" w14:textId="22135CDD" w:rsidR="00AB0969" w:rsidRPr="00AB0969" w:rsidRDefault="00AB0969" w:rsidP="005B157C">
      <w:pPr>
        <w:rPr>
          <w:b/>
        </w:rPr>
      </w:pPr>
      <w:r w:rsidRPr="00AB0969">
        <w:rPr>
          <w:b/>
        </w:rPr>
        <w:t>1.4 Indekstype</w:t>
      </w:r>
    </w:p>
    <w:p w14:paraId="56CA4C02" w14:textId="77777777" w:rsidR="00AB0969" w:rsidRDefault="00AB0969" w:rsidP="005B157C"/>
    <w:p w14:paraId="29D2BB13" w14:textId="77777777" w:rsidR="00AB0969" w:rsidRDefault="00D03F45" w:rsidP="005B157C">
      <w:r>
        <w:t xml:space="preserve">Indeks for udenrigshandelen beregnes som et Fisher-indeks, der er et geometrisk gennemsnit af </w:t>
      </w:r>
      <w:proofErr w:type="spellStart"/>
      <w:r>
        <w:t>Paasches</w:t>
      </w:r>
      <w:proofErr w:type="spellEnd"/>
      <w:r>
        <w:t xml:space="preserve"> og </w:t>
      </w:r>
      <w:proofErr w:type="spellStart"/>
      <w:r>
        <w:t>Laspeyres</w:t>
      </w:r>
      <w:proofErr w:type="spellEnd"/>
      <w:r>
        <w:t>’ indeks.</w:t>
      </w:r>
    </w:p>
    <w:p w14:paraId="145F9348" w14:textId="77777777" w:rsidR="00AB0969" w:rsidRDefault="00AB0969" w:rsidP="005B157C"/>
    <w:p w14:paraId="31A200A8" w14:textId="77777777" w:rsidR="00D03F45" w:rsidRDefault="00C74191" w:rsidP="005B157C">
      <w:r>
        <w:t xml:space="preserve">Mængdeindeks beregnes ved </w:t>
      </w:r>
      <w:proofErr w:type="spellStart"/>
      <w:r>
        <w:t>deflatering</w:t>
      </w:r>
      <w:proofErr w:type="spellEnd"/>
      <w:r>
        <w:t>, dvs. ved at dividere indeks for værdien af handelen med det tilsvarende enhedsværdiindeks. Det indeks der fremkommer ved denne beregning er et Fisher-indeks, der afspejler mængdeændringerne i udenrigshandelen. Både enhedsværdiindeks og mængdeindeks er beregnet ved årlig kædeberegning. Bytteforholdet beregnes som forholdet mellem enhedsværdiindekset i eksporten og enhedsværdiindekset i importen.</w:t>
      </w:r>
    </w:p>
    <w:p w14:paraId="2EFFFC28" w14:textId="77777777" w:rsidR="00C74191" w:rsidRDefault="00C74191" w:rsidP="005B157C"/>
    <w:p w14:paraId="2D795D2E" w14:textId="719B3892" w:rsidR="00D74F6A" w:rsidRPr="00D74F6A" w:rsidRDefault="00DF2D13" w:rsidP="005B157C">
      <w:pPr>
        <w:rPr>
          <w:b/>
        </w:rPr>
      </w:pPr>
      <w:r>
        <w:rPr>
          <w:b/>
        </w:rPr>
        <w:t>1.5</w:t>
      </w:r>
      <w:r w:rsidR="00D74F6A" w:rsidRPr="00D74F6A">
        <w:rPr>
          <w:b/>
        </w:rPr>
        <w:t xml:space="preserve"> </w:t>
      </w:r>
      <w:proofErr w:type="gramStart"/>
      <w:r w:rsidR="00D74F6A" w:rsidRPr="00D74F6A">
        <w:rPr>
          <w:b/>
        </w:rPr>
        <w:t>Retligt</w:t>
      </w:r>
      <w:proofErr w:type="gramEnd"/>
      <w:r w:rsidR="00D74F6A" w:rsidRPr="00D74F6A">
        <w:rPr>
          <w:b/>
        </w:rPr>
        <w:t xml:space="preserve"> grundlag </w:t>
      </w:r>
    </w:p>
    <w:p w14:paraId="23F86E9A" w14:textId="77777777" w:rsidR="00D74F6A" w:rsidRDefault="00D74F6A" w:rsidP="005B157C"/>
    <w:p w14:paraId="0CB7C8F7" w14:textId="77777777" w:rsidR="00C502C7" w:rsidRPr="006D41F2" w:rsidRDefault="00C502C7" w:rsidP="00C502C7">
      <w:pPr>
        <w:spacing w:before="199" w:after="199"/>
      </w:pPr>
      <w:r w:rsidRPr="006D41F2">
        <w:rPr>
          <w:rFonts w:ascii="Georgia" w:eastAsia="Georgia" w:hAnsi="Georgia"/>
          <w:color w:val="000000"/>
        </w:rPr>
        <w:t>Lov om Danmarks Statistik (lovbekendtgørelse nr. 599 af 22. juni 2000) samt Økonomi- og erhvervsministeriets bekendtgørelse nr. 1495 af 16. december 2004.</w:t>
      </w:r>
    </w:p>
    <w:p w14:paraId="01A555FF" w14:textId="77777777" w:rsidR="00C502C7" w:rsidRPr="006D41F2" w:rsidRDefault="00C502C7" w:rsidP="00C502C7">
      <w:pPr>
        <w:spacing w:after="199"/>
      </w:pPr>
      <w:r w:rsidRPr="006D41F2">
        <w:rPr>
          <w:rFonts w:ascii="Georgia" w:eastAsia="Georgia" w:hAnsi="Georgia"/>
          <w:color w:val="000000"/>
        </w:rPr>
        <w:t xml:space="preserve">Europa-Parlamentets og Rådets forordning (EF) nr. 638/2004 af 31. marts 2004 om statistikker over varehandlen mellem </w:t>
      </w:r>
      <w:r w:rsidRPr="006D41F2">
        <w:rPr>
          <w:rFonts w:ascii="Georgia" w:eastAsia="Georgia" w:hAnsi="Georgia"/>
          <w:color w:val="000000"/>
        </w:rPr>
        <w:lastRenderedPageBreak/>
        <w:t>medlemsstaterne og ophævelse af Rådets forordning (EØF) nr. 3330/91, med tilhørende ændringer.</w:t>
      </w:r>
    </w:p>
    <w:p w14:paraId="3EE0B5D5" w14:textId="77777777" w:rsidR="00C502C7" w:rsidRPr="006D41F2" w:rsidRDefault="00C502C7" w:rsidP="00C502C7">
      <w:pPr>
        <w:spacing w:after="199"/>
      </w:pPr>
      <w:r w:rsidRPr="006D41F2">
        <w:rPr>
          <w:rFonts w:ascii="Georgia" w:eastAsia="Georgia" w:hAnsi="Georgia"/>
          <w:color w:val="000000"/>
        </w:rPr>
        <w:t xml:space="preserve">Kommissionens forordning (EF) nr. 1982/2004 af 18. november 2004 om gennemførelse af Europa-Parlamentets og Rådets forordning (EF) nr. 638/2004 om statistikker over varehandlen mellem medlemsstaterne og om ophævelse af </w:t>
      </w:r>
    </w:p>
    <w:p w14:paraId="4DAC8DF0" w14:textId="77777777" w:rsidR="00C502C7" w:rsidRPr="006D41F2" w:rsidRDefault="00C502C7" w:rsidP="00C502C7">
      <w:pPr>
        <w:spacing w:after="199"/>
      </w:pPr>
      <w:r w:rsidRPr="006D41F2">
        <w:rPr>
          <w:rFonts w:ascii="Georgia" w:eastAsia="Georgia" w:hAnsi="Georgia"/>
          <w:color w:val="000000"/>
        </w:rPr>
        <w:t>Kommissionens forordning (EF) nr. 1901/2000 og (EØF) nr. 3590/92, med tilhørende ændringer.</w:t>
      </w:r>
    </w:p>
    <w:p w14:paraId="6FCE0228" w14:textId="77777777" w:rsidR="00C502C7" w:rsidRPr="006D41F2" w:rsidRDefault="00C502C7" w:rsidP="00C502C7">
      <w:pPr>
        <w:spacing w:after="199"/>
      </w:pPr>
      <w:r w:rsidRPr="006D41F2">
        <w:rPr>
          <w:rFonts w:ascii="Georgia" w:eastAsia="Georgia" w:hAnsi="Georgia"/>
          <w:color w:val="000000"/>
        </w:rPr>
        <w:t>Kommissionens forordning (EU) nr. 92/2010 af 2. februar 2010 om gennemførelse af Europa-Parlamentets og Rådets forordning (EF) nr. 471/2009 om fællesskabsstatistikker over varehandelen med tredjelande, for så vidt angår dataudveksling mellem toldmyndighederne og de nationale statistikmyndigheder, udarbejdelse af statistikker og kvalitetsvurdering.</w:t>
      </w:r>
    </w:p>
    <w:p w14:paraId="4D35ADCB" w14:textId="77777777" w:rsidR="00C502C7" w:rsidRPr="006D41F2" w:rsidRDefault="00C502C7" w:rsidP="00C502C7">
      <w:pPr>
        <w:spacing w:after="199"/>
      </w:pPr>
      <w:r w:rsidRPr="006D41F2">
        <w:rPr>
          <w:rFonts w:ascii="Georgia" w:eastAsia="Georgia" w:hAnsi="Georgia"/>
          <w:color w:val="000000"/>
        </w:rPr>
        <w:t>Kommissionens forordning (EU) nr. 113/2010 af 9. februar 2010 om gennemførelse af Europa-Parlamentets og Rådets forordning (EF) nr. 471/2009 om fællesskabsstatistikker over varehandelen med tredjelande, for så vidt angår dækning af handelen, definition af dataene, udarbejdelse af handelsstatistikker efter virksomhedskendetegn og efter faktureringsvaluta samt særlige varer eller særlige varebevægelser.</w:t>
      </w:r>
    </w:p>
    <w:p w14:paraId="1F5928ED" w14:textId="77777777" w:rsidR="00C502C7" w:rsidRPr="006D41F2" w:rsidRDefault="00C502C7" w:rsidP="00C502C7">
      <w:pPr>
        <w:spacing w:after="199"/>
      </w:pPr>
      <w:r w:rsidRPr="006D41F2">
        <w:rPr>
          <w:rFonts w:ascii="Georgia" w:eastAsia="Georgia" w:hAnsi="Georgia"/>
          <w:color w:val="000000"/>
        </w:rPr>
        <w:t>Rådets forordning (EØF) nr. 2658/87 af 23. juli 1987 om told- og statistiknomenklaturen og Den Fælles Toldtarif.</w:t>
      </w:r>
    </w:p>
    <w:p w14:paraId="3A83E051" w14:textId="77777777" w:rsidR="00C502C7" w:rsidRPr="006D41F2" w:rsidRDefault="00C502C7" w:rsidP="00C502C7">
      <w:pPr>
        <w:spacing w:after="199"/>
      </w:pPr>
      <w:r w:rsidRPr="006D41F2">
        <w:rPr>
          <w:rFonts w:ascii="Georgia" w:eastAsia="Georgia" w:hAnsi="Georgia"/>
          <w:color w:val="000000"/>
        </w:rPr>
        <w:t>Kommissionens forordning EF nr.1779/2002 af 4. oktober 2002 om den statistiske lande- og områdefortegnelse for Fællesskabets udenrigshandel og for samhandlen mellem dets medlemsstater.</w:t>
      </w:r>
    </w:p>
    <w:p w14:paraId="17954084" w14:textId="4108E3B3" w:rsidR="00D74F6A" w:rsidRDefault="00C502C7" w:rsidP="005B157C">
      <w:pPr>
        <w:rPr>
          <w:b/>
        </w:rPr>
      </w:pPr>
      <w:r w:rsidRPr="006D41F2">
        <w:rPr>
          <w:rFonts w:ascii="Georgia" w:eastAsia="Georgia" w:hAnsi="Georgia"/>
          <w:color w:val="000000"/>
        </w:rPr>
        <w:t>Rådets forordning (EØF) nr. 2913/92 af 12. oktober 1992 om indførelse af et EF-toldkodeks.</w:t>
      </w:r>
    </w:p>
    <w:p w14:paraId="53D8BA3B" w14:textId="77777777" w:rsidR="00D74F6A" w:rsidRDefault="00D74F6A" w:rsidP="005B157C">
      <w:pPr>
        <w:rPr>
          <w:b/>
        </w:rPr>
      </w:pPr>
    </w:p>
    <w:p w14:paraId="3C6D3EB4" w14:textId="6398F855" w:rsidR="00602695" w:rsidRPr="00602695" w:rsidRDefault="00602695" w:rsidP="005B157C">
      <w:pPr>
        <w:rPr>
          <w:b/>
        </w:rPr>
      </w:pPr>
      <w:r w:rsidRPr="00602695">
        <w:rPr>
          <w:b/>
        </w:rPr>
        <w:t xml:space="preserve">2 Anvendelse og publicering af indekset </w:t>
      </w:r>
    </w:p>
    <w:p w14:paraId="460B4DFE" w14:textId="77777777" w:rsidR="00602695" w:rsidRPr="00602695" w:rsidRDefault="00602695" w:rsidP="005B157C">
      <w:pPr>
        <w:rPr>
          <w:b/>
        </w:rPr>
      </w:pPr>
    </w:p>
    <w:p w14:paraId="3ABBD181" w14:textId="20B4A973" w:rsidR="00602695" w:rsidRPr="00602695" w:rsidRDefault="00602695" w:rsidP="005B157C">
      <w:pPr>
        <w:rPr>
          <w:b/>
        </w:rPr>
      </w:pPr>
      <w:r w:rsidRPr="00602695">
        <w:rPr>
          <w:b/>
        </w:rPr>
        <w:t xml:space="preserve">2.1 Anvendelse </w:t>
      </w:r>
    </w:p>
    <w:p w14:paraId="52611F99" w14:textId="77777777" w:rsidR="00602695" w:rsidRPr="00602695" w:rsidRDefault="00602695" w:rsidP="005B157C">
      <w:pPr>
        <w:rPr>
          <w:b/>
        </w:rPr>
      </w:pPr>
    </w:p>
    <w:p w14:paraId="73061356" w14:textId="77777777" w:rsidR="00602695" w:rsidRPr="00602695" w:rsidRDefault="00602695" w:rsidP="005B157C">
      <w:pPr>
        <w:rPr>
          <w:b/>
        </w:rPr>
      </w:pPr>
      <w:r w:rsidRPr="00602695">
        <w:rPr>
          <w:b/>
        </w:rPr>
        <w:t xml:space="preserve">a. Enhedsværdiindeks </w:t>
      </w:r>
    </w:p>
    <w:p w14:paraId="4B20B384" w14:textId="77777777" w:rsidR="00602695" w:rsidRDefault="00602695" w:rsidP="005B157C"/>
    <w:p w14:paraId="4093B0BC" w14:textId="0D143028" w:rsidR="00602695" w:rsidRDefault="00602695" w:rsidP="005B157C">
      <w:r>
        <w:t xml:space="preserve">Enhedsværdiindekset udtrykker den ændring </w:t>
      </w:r>
      <w:r w:rsidR="00C502C7">
        <w:t xml:space="preserve">der er </w:t>
      </w:r>
      <w:r>
        <w:t xml:space="preserve">i værdien af henholdsvis de importerede og eksporterede varer, </w:t>
      </w:r>
      <w:r w:rsidR="00C502C7">
        <w:t>som</w:t>
      </w:r>
      <w:r>
        <w:t xml:space="preserve"> fremkaldes af prisændringer, dvs. ændringer i enhedsværdierne. Ud over ændringer i værdien pr. enhed som følge af egentlige prisændringer påvirkes enhedsværdiindekset også af mængdeforskydninger mellem varerne samt af kvalitetsændringer af de enkelte varer.</w:t>
      </w:r>
    </w:p>
    <w:p w14:paraId="7CEFF7B5" w14:textId="77777777" w:rsidR="007B27A6" w:rsidRDefault="007B27A6" w:rsidP="005B157C"/>
    <w:p w14:paraId="1CFECBAC" w14:textId="77777777" w:rsidR="007B27A6" w:rsidRDefault="007B27A6" w:rsidP="005B157C"/>
    <w:p w14:paraId="75D85521" w14:textId="77777777" w:rsidR="007B27A6" w:rsidRPr="007B27A6" w:rsidRDefault="007B27A6" w:rsidP="005B157C">
      <w:pPr>
        <w:rPr>
          <w:b/>
        </w:rPr>
      </w:pPr>
      <w:r w:rsidRPr="007B27A6">
        <w:rPr>
          <w:b/>
        </w:rPr>
        <w:t xml:space="preserve">b. Mængdeindeks </w:t>
      </w:r>
    </w:p>
    <w:p w14:paraId="0746D66B" w14:textId="77777777" w:rsidR="007B27A6" w:rsidRDefault="007B27A6" w:rsidP="005B157C"/>
    <w:p w14:paraId="439C6B10" w14:textId="77777777" w:rsidR="007B27A6" w:rsidRDefault="007B27A6" w:rsidP="005B157C">
      <w:pPr>
        <w:rPr>
          <w:b/>
        </w:rPr>
      </w:pPr>
      <w:r>
        <w:t xml:space="preserve">Mængdeindekset udtrykker den ændring i værdien af henholdsvis de importerede og eksporterede varer, der fremkaldes af </w:t>
      </w:r>
      <w:r>
        <w:lastRenderedPageBreak/>
        <w:t>mængdeændringer. Ud over påvirkninger som følge af forøgelse eller formindskelse af de omsatte mængder påvirkes indekset også af mængdeforskydninger mellem varerne. Mængderne i udenrigshandelen opgøres på en hovedenhed samt eventuelt en supplerende enhed. Mængdeindeks beregnes på baggrund af hovedenheden, der i langt de fleste tilfælde er angivet i kilo.</w:t>
      </w:r>
    </w:p>
    <w:p w14:paraId="62C41462" w14:textId="77777777" w:rsidR="00602695" w:rsidRDefault="00602695" w:rsidP="005B157C">
      <w:pPr>
        <w:rPr>
          <w:b/>
        </w:rPr>
      </w:pPr>
    </w:p>
    <w:p w14:paraId="174EF00F" w14:textId="77777777" w:rsidR="00602695" w:rsidRDefault="00602695" w:rsidP="005B157C">
      <w:pPr>
        <w:rPr>
          <w:b/>
        </w:rPr>
      </w:pPr>
    </w:p>
    <w:p w14:paraId="4A5C3DF9" w14:textId="403A8BA9" w:rsidR="002B6314" w:rsidRPr="002B6314" w:rsidRDefault="002B6314" w:rsidP="005B157C">
      <w:pPr>
        <w:rPr>
          <w:b/>
        </w:rPr>
      </w:pPr>
      <w:r w:rsidRPr="002B6314">
        <w:rPr>
          <w:b/>
        </w:rPr>
        <w:t xml:space="preserve">2.2 Centrale brugere </w:t>
      </w:r>
    </w:p>
    <w:p w14:paraId="4FC26115" w14:textId="77777777" w:rsidR="002B6314" w:rsidRDefault="002B6314" w:rsidP="005B157C"/>
    <w:p w14:paraId="6F13447C" w14:textId="77777777" w:rsidR="002B6314" w:rsidRDefault="002B6314" w:rsidP="005B157C">
      <w:r>
        <w:t xml:space="preserve">Udenrigshandelsstatistikken og indeks anvendes af blandt andet offentlige myndigheder, private organisationer og firmaer, pressen og privatpersoner. Tallene anvendes desuden af erhvervsvirksomheder til markedsanalyser. </w:t>
      </w:r>
    </w:p>
    <w:p w14:paraId="51372B6D" w14:textId="77777777" w:rsidR="002B6314" w:rsidRDefault="002B6314" w:rsidP="005B157C"/>
    <w:p w14:paraId="4C89E178" w14:textId="6E153CB0" w:rsidR="002B6314" w:rsidRPr="002B6314" w:rsidRDefault="002B6314" w:rsidP="005B157C">
      <w:pPr>
        <w:rPr>
          <w:b/>
        </w:rPr>
      </w:pPr>
      <w:r w:rsidRPr="002B6314">
        <w:rPr>
          <w:b/>
        </w:rPr>
        <w:t xml:space="preserve">2.3 Offentliggørelse </w:t>
      </w:r>
    </w:p>
    <w:p w14:paraId="609B8F82" w14:textId="77777777" w:rsidR="002B6314" w:rsidRDefault="002B6314" w:rsidP="005B157C"/>
    <w:p w14:paraId="4ADD630A" w14:textId="5A88381C" w:rsidR="00602695" w:rsidRDefault="00775B7D" w:rsidP="005B157C">
      <w:r>
        <w:t xml:space="preserve">Indekserne offentliggøres månedligt ca. 6 uger efter månedens udgang. </w:t>
      </w:r>
      <w:r w:rsidR="002B6314">
        <w:t xml:space="preserve">Indeks er tilgængelige i Danmarks Statistikbank på </w:t>
      </w:r>
      <w:hyperlink r:id="rId9" w:history="1">
        <w:r w:rsidR="005F5888" w:rsidRPr="00666C59">
          <w:rPr>
            <w:rStyle w:val="Hyperlink"/>
          </w:rPr>
          <w:t>www.statistikbanken.dk</w:t>
        </w:r>
      </w:hyperlink>
      <w:r w:rsidR="002B6314">
        <w:t>.</w:t>
      </w:r>
    </w:p>
    <w:p w14:paraId="2A2D574B" w14:textId="77777777" w:rsidR="005F5888" w:rsidRDefault="005F5888" w:rsidP="005B157C"/>
    <w:p w14:paraId="287A97DD" w14:textId="1B528F79" w:rsidR="005F5888" w:rsidRPr="005F5888" w:rsidRDefault="005F5888" w:rsidP="005B157C">
      <w:pPr>
        <w:rPr>
          <w:b/>
        </w:rPr>
      </w:pPr>
      <w:r w:rsidRPr="005F5888">
        <w:rPr>
          <w:b/>
        </w:rPr>
        <w:t xml:space="preserve">2.4 Egenskaber ved indekset </w:t>
      </w:r>
    </w:p>
    <w:p w14:paraId="0220B4EF" w14:textId="77777777" w:rsidR="005F5888" w:rsidRDefault="005F5888" w:rsidP="005B157C"/>
    <w:p w14:paraId="3BC9D86A" w14:textId="5E18A60A" w:rsidR="00E24AF1" w:rsidRDefault="00C502C7" w:rsidP="005B157C">
      <w:pPr>
        <w:rPr>
          <w:b/>
        </w:rPr>
      </w:pPr>
      <w:r>
        <w:t>Udenrigshandelsin</w:t>
      </w:r>
      <w:r w:rsidR="005F5888">
        <w:t>deks</w:t>
      </w:r>
      <w:r>
        <w:t>ene</w:t>
      </w:r>
      <w:r w:rsidR="005F5888">
        <w:t xml:space="preserve"> beregnes som et Fisher-indeks, der er et geometrisk gennemsnit</w:t>
      </w:r>
      <w:r w:rsidR="005B10B1">
        <w:t>,</w:t>
      </w:r>
      <w:r>
        <w:t xml:space="preserve"> af</w:t>
      </w:r>
      <w:r w:rsidR="005F5888">
        <w:t xml:space="preserve"> </w:t>
      </w:r>
      <w:proofErr w:type="spellStart"/>
      <w:r w:rsidR="005F5888">
        <w:t>Laspeyres</w:t>
      </w:r>
      <w:proofErr w:type="spellEnd"/>
      <w:r w:rsidR="005F5888">
        <w:t xml:space="preserve"> og Paasches’ </w:t>
      </w:r>
      <w:r>
        <w:t>indeks</w:t>
      </w:r>
      <w:r w:rsidR="005F5888">
        <w:t xml:space="preserve">. </w:t>
      </w:r>
      <w:r>
        <w:t>Ifølge</w:t>
      </w:r>
      <w:r w:rsidR="005F5888">
        <w:t xml:space="preserve"> </w:t>
      </w:r>
      <w:proofErr w:type="spellStart"/>
      <w:r w:rsidR="005F5888">
        <w:t>Laspeyres</w:t>
      </w:r>
      <w:proofErr w:type="spellEnd"/>
      <w:r w:rsidR="005F5888">
        <w:t xml:space="preserve"> formel</w:t>
      </w:r>
      <w:r>
        <w:t>,</w:t>
      </w:r>
      <w:r w:rsidR="005F5888">
        <w:t xml:space="preserve"> er tælleren en sammenvejning af prisen i den aktuelle periode og referenceperiodens mængder, mens nævneren udtrykker den samlede værdi af de importerede og eksporterede varer i referenceperioden.</w:t>
      </w:r>
    </w:p>
    <w:p w14:paraId="49803F10" w14:textId="77777777" w:rsidR="00E24AF1" w:rsidRDefault="00E24AF1" w:rsidP="005B157C">
      <w:pPr>
        <w:rPr>
          <w:b/>
        </w:rPr>
      </w:pPr>
    </w:p>
    <w:p w14:paraId="58003083" w14:textId="72A6BFE5" w:rsidR="009A643E" w:rsidRDefault="00C502C7" w:rsidP="005B157C">
      <w:r>
        <w:t xml:space="preserve">Ifølge </w:t>
      </w:r>
      <w:proofErr w:type="spellStart"/>
      <w:r w:rsidR="009A643E">
        <w:t>Paasches</w:t>
      </w:r>
      <w:proofErr w:type="spellEnd"/>
      <w:r w:rsidR="009A643E">
        <w:t xml:space="preserve"> formel udtrykker tælleren værdien af de importerede og eksporterede varer i den aktuelle periode, mens nævneren er en sammenvejning af mængden i den aktuelle periode og prisen i referenceperioden. </w:t>
      </w:r>
    </w:p>
    <w:p w14:paraId="1A51FA6B" w14:textId="77777777" w:rsidR="009A643E" w:rsidRDefault="009A643E" w:rsidP="005B157C"/>
    <w:p w14:paraId="560092C4" w14:textId="2E2E2B12" w:rsidR="009A643E" w:rsidRDefault="009A643E" w:rsidP="005B157C">
      <w:r>
        <w:t>Baggrunden for dette er blandt andet, at der i forbindelse med prisændringer vil forekomme substitution med nært beslægtede varer. Dette betyder, at efterspørgslen i almindelighed vil rettes væk fra de varer, hvor prisen er steget relativt me</w:t>
      </w:r>
      <w:r w:rsidR="005B10B1">
        <w:t>get</w:t>
      </w:r>
      <w:r>
        <w:t xml:space="preserve">, </w:t>
      </w:r>
      <w:r w:rsidR="005B10B1">
        <w:t>hen imod</w:t>
      </w:r>
      <w:r>
        <w:t xml:space="preserve"> de varer, hvor prisen er faldet relativt me</w:t>
      </w:r>
      <w:r w:rsidR="00C502C7">
        <w:t>get</w:t>
      </w:r>
      <w:r>
        <w:t xml:space="preserve">. </w:t>
      </w:r>
    </w:p>
    <w:p w14:paraId="6F0B565F" w14:textId="77777777" w:rsidR="009A643E" w:rsidRDefault="009A643E" w:rsidP="005B157C"/>
    <w:p w14:paraId="20FD6D4E" w14:textId="77777777" w:rsidR="009A643E" w:rsidRDefault="009A643E" w:rsidP="005B157C">
      <w:r>
        <w:t xml:space="preserve">Når disse forhold påvirker handelsmønstret, vil Laspeyres enhedsværdiindeks overovervurdere en stigning i priserne og undervurdere et fald. </w:t>
      </w:r>
      <w:proofErr w:type="spellStart"/>
      <w:r>
        <w:t>Paasches</w:t>
      </w:r>
      <w:proofErr w:type="spellEnd"/>
      <w:r>
        <w:t xml:space="preserve"> indeks vil derimod undervurdere en prisstigning, mens et prisfald vil blive overvurderet. </w:t>
      </w:r>
    </w:p>
    <w:p w14:paraId="3557074D" w14:textId="77777777" w:rsidR="009A643E" w:rsidRDefault="009A643E" w:rsidP="005B157C"/>
    <w:p w14:paraId="66BFF720" w14:textId="625AE967" w:rsidR="00E24AF1" w:rsidRDefault="009A643E" w:rsidP="005B157C">
      <w:pPr>
        <w:rPr>
          <w:b/>
        </w:rPr>
      </w:pPr>
      <w:r>
        <w:t xml:space="preserve">Tilsvarende vil Laspeyres’ mængdeindeks overvurdere en stigning og undervurdere et fald i de omsatte mængder, mens </w:t>
      </w:r>
      <w:proofErr w:type="spellStart"/>
      <w:r>
        <w:t>Paasches</w:t>
      </w:r>
      <w:proofErr w:type="spellEnd"/>
      <w:r>
        <w:t xml:space="preserve"> mængdeindeks vil undervurdere en mængdestigning og overvurdere et fald.</w:t>
      </w:r>
      <w:r w:rsidR="00A613EC">
        <w:t xml:space="preserve"> </w:t>
      </w:r>
      <w:r w:rsidR="001B0B13">
        <w:t>I tabel 1 ses et eksempel.</w:t>
      </w:r>
    </w:p>
    <w:p w14:paraId="6D7884E0" w14:textId="77777777" w:rsidR="00E24AF1" w:rsidRDefault="00E24AF1" w:rsidP="005B157C">
      <w:pPr>
        <w:rPr>
          <w:b/>
        </w:rPr>
      </w:pPr>
    </w:p>
    <w:p w14:paraId="6DE99292" w14:textId="77777777" w:rsidR="00A613EC" w:rsidRDefault="00A613EC" w:rsidP="005B157C">
      <w:pPr>
        <w:rPr>
          <w:b/>
        </w:rPr>
      </w:pPr>
    </w:p>
    <w:p w14:paraId="3404B68D" w14:textId="5AD98CD9" w:rsidR="001B0B13" w:rsidRDefault="001B0B13" w:rsidP="001B0B13">
      <w:pPr>
        <w:pStyle w:val="Ledetekst"/>
        <w:framePr w:wrap="notBeside"/>
      </w:pPr>
      <w:r>
        <w:t>Tabel1.</w:t>
      </w:r>
    </w:p>
    <w:p w14:paraId="4E7EEFB9" w14:textId="76BF7DB8" w:rsidR="001B0B13" w:rsidRDefault="001B0B13" w:rsidP="001B0B13">
      <w:pPr>
        <w:pStyle w:val="Tabeloverskrift"/>
      </w:pPr>
    </w:p>
    <w:tbl>
      <w:tblPr>
        <w:tblStyle w:val="Tabel-Gitter"/>
        <w:tblW w:w="5896" w:type="dxa"/>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180"/>
        <w:gridCol w:w="1179"/>
        <w:gridCol w:w="1179"/>
        <w:gridCol w:w="1179"/>
        <w:gridCol w:w="1179"/>
      </w:tblGrid>
      <w:tr w:rsidR="001B0B13" w14:paraId="2F9BA124" w14:textId="77777777" w:rsidTr="001B0B13">
        <w:tc>
          <w:tcPr>
            <w:tcW w:w="1180" w:type="dxa"/>
            <w:tcBorders>
              <w:top w:val="single" w:sz="24" w:space="0" w:color="6F6D5C"/>
              <w:bottom w:val="nil"/>
            </w:tcBorders>
            <w:shd w:val="clear" w:color="auto" w:fill="auto"/>
            <w:vAlign w:val="bottom"/>
          </w:tcPr>
          <w:p w14:paraId="67B630BD" w14:textId="025996CD" w:rsidR="001B0B13" w:rsidRPr="001B0B13" w:rsidRDefault="001B0B13" w:rsidP="001B0B13">
            <w:pPr>
              <w:pStyle w:val="StdCelle"/>
              <w:spacing w:before="80"/>
              <w:jc w:val="left"/>
              <w:rPr>
                <w:rFonts w:asciiTheme="minorHAnsi" w:hAnsiTheme="minorHAnsi"/>
              </w:rPr>
            </w:pPr>
            <w:r w:rsidRPr="001B0B13">
              <w:rPr>
                <w:rFonts w:asciiTheme="minorHAnsi" w:hAnsiTheme="minorHAnsi"/>
              </w:rPr>
              <w:t>Tid</w:t>
            </w:r>
          </w:p>
        </w:tc>
        <w:tc>
          <w:tcPr>
            <w:tcW w:w="1179" w:type="dxa"/>
            <w:tcBorders>
              <w:top w:val="single" w:sz="24" w:space="0" w:color="6F6D5C"/>
              <w:bottom w:val="nil"/>
            </w:tcBorders>
            <w:shd w:val="clear" w:color="auto" w:fill="auto"/>
            <w:vAlign w:val="bottom"/>
          </w:tcPr>
          <w:p w14:paraId="5378BDFE" w14:textId="77777777" w:rsidR="001B0B13" w:rsidRPr="001B0B13" w:rsidRDefault="001B0B13" w:rsidP="001B0B13">
            <w:pPr>
              <w:pStyle w:val="StdCelle"/>
              <w:spacing w:before="80"/>
              <w:rPr>
                <w:rFonts w:asciiTheme="minorHAnsi" w:hAnsiTheme="minorHAnsi"/>
              </w:rPr>
            </w:pPr>
          </w:p>
        </w:tc>
        <w:tc>
          <w:tcPr>
            <w:tcW w:w="1179" w:type="dxa"/>
            <w:tcBorders>
              <w:top w:val="single" w:sz="24" w:space="0" w:color="6F6D5C"/>
              <w:bottom w:val="nil"/>
            </w:tcBorders>
            <w:shd w:val="clear" w:color="auto" w:fill="auto"/>
            <w:vAlign w:val="bottom"/>
          </w:tcPr>
          <w:p w14:paraId="5A1D925D" w14:textId="013A157D" w:rsidR="001B0B13" w:rsidRPr="001B0B13" w:rsidRDefault="001B0B13" w:rsidP="001B0B13">
            <w:pPr>
              <w:pStyle w:val="StdCelle"/>
              <w:spacing w:before="80"/>
              <w:rPr>
                <w:rFonts w:asciiTheme="minorHAnsi" w:hAnsiTheme="minorHAnsi"/>
              </w:rPr>
            </w:pPr>
            <w:r w:rsidRPr="001B0B13">
              <w:rPr>
                <w:rFonts w:asciiTheme="minorHAnsi" w:hAnsiTheme="minorHAnsi"/>
              </w:rPr>
              <w:t>t-0</w:t>
            </w:r>
          </w:p>
        </w:tc>
        <w:tc>
          <w:tcPr>
            <w:tcW w:w="1179" w:type="dxa"/>
            <w:tcBorders>
              <w:top w:val="single" w:sz="24" w:space="0" w:color="6F6D5C"/>
              <w:bottom w:val="nil"/>
            </w:tcBorders>
            <w:shd w:val="clear" w:color="auto" w:fill="auto"/>
            <w:vAlign w:val="bottom"/>
          </w:tcPr>
          <w:p w14:paraId="3B84D280" w14:textId="2C57065F" w:rsidR="001B0B13" w:rsidRPr="001B0B13" w:rsidRDefault="001B0B13" w:rsidP="001B0B13">
            <w:pPr>
              <w:pStyle w:val="StdCelle"/>
              <w:spacing w:before="80"/>
              <w:rPr>
                <w:rFonts w:asciiTheme="minorHAnsi" w:hAnsiTheme="minorHAnsi"/>
              </w:rPr>
            </w:pPr>
            <w:r w:rsidRPr="001B0B13">
              <w:rPr>
                <w:rFonts w:asciiTheme="minorHAnsi" w:hAnsiTheme="minorHAnsi"/>
              </w:rPr>
              <w:t>t-1</w:t>
            </w:r>
          </w:p>
        </w:tc>
        <w:tc>
          <w:tcPr>
            <w:tcW w:w="1179" w:type="dxa"/>
            <w:tcBorders>
              <w:top w:val="single" w:sz="24" w:space="0" w:color="6F6D5C"/>
              <w:bottom w:val="nil"/>
            </w:tcBorders>
            <w:shd w:val="clear" w:color="auto" w:fill="auto"/>
            <w:vAlign w:val="bottom"/>
          </w:tcPr>
          <w:p w14:paraId="718C54BC" w14:textId="219C3990" w:rsidR="001B0B13" w:rsidRPr="001B0B13" w:rsidRDefault="001B0B13" w:rsidP="001B0B13">
            <w:pPr>
              <w:pStyle w:val="StdCelle"/>
              <w:spacing w:before="80"/>
              <w:rPr>
                <w:rFonts w:asciiTheme="minorHAnsi" w:hAnsiTheme="minorHAnsi"/>
              </w:rPr>
            </w:pPr>
            <w:r w:rsidRPr="001B0B13">
              <w:rPr>
                <w:rFonts w:asciiTheme="minorHAnsi" w:hAnsiTheme="minorHAnsi"/>
              </w:rPr>
              <w:t>t-2</w:t>
            </w:r>
          </w:p>
        </w:tc>
      </w:tr>
      <w:tr w:rsidR="001B0B13" w14:paraId="138B533D" w14:textId="77777777" w:rsidTr="001B0B13">
        <w:tc>
          <w:tcPr>
            <w:tcW w:w="1180" w:type="dxa"/>
            <w:tcBorders>
              <w:top w:val="nil"/>
            </w:tcBorders>
            <w:shd w:val="clear" w:color="auto" w:fill="auto"/>
            <w:vAlign w:val="bottom"/>
          </w:tcPr>
          <w:p w14:paraId="0081AAB0" w14:textId="0159207F" w:rsidR="001B0B13" w:rsidRPr="001B0B13" w:rsidRDefault="001B0B13" w:rsidP="001B0B13">
            <w:pPr>
              <w:pStyle w:val="StdCelle"/>
              <w:jc w:val="left"/>
              <w:rPr>
                <w:rFonts w:asciiTheme="minorHAnsi" w:hAnsiTheme="minorHAnsi"/>
              </w:rPr>
            </w:pPr>
            <w:r w:rsidRPr="001B0B13">
              <w:rPr>
                <w:rFonts w:asciiTheme="minorHAnsi" w:hAnsiTheme="minorHAnsi"/>
              </w:rPr>
              <w:t>vare-1</w:t>
            </w:r>
          </w:p>
        </w:tc>
        <w:tc>
          <w:tcPr>
            <w:tcW w:w="1179" w:type="dxa"/>
            <w:tcBorders>
              <w:top w:val="nil"/>
            </w:tcBorders>
            <w:shd w:val="clear" w:color="auto" w:fill="auto"/>
            <w:vAlign w:val="bottom"/>
          </w:tcPr>
          <w:p w14:paraId="097DD5CB" w14:textId="5340556E" w:rsidR="001B0B13" w:rsidRPr="001B0B13" w:rsidRDefault="001B0B13" w:rsidP="001B0B13">
            <w:pPr>
              <w:pStyle w:val="StdCelle"/>
              <w:jc w:val="left"/>
              <w:rPr>
                <w:rFonts w:asciiTheme="minorHAnsi" w:hAnsiTheme="minorHAnsi"/>
              </w:rPr>
            </w:pPr>
            <w:r w:rsidRPr="001B0B13">
              <w:rPr>
                <w:rFonts w:asciiTheme="minorHAnsi" w:hAnsiTheme="minorHAnsi"/>
              </w:rPr>
              <w:t>pris</w:t>
            </w:r>
          </w:p>
        </w:tc>
        <w:tc>
          <w:tcPr>
            <w:tcW w:w="1179" w:type="dxa"/>
            <w:tcBorders>
              <w:top w:val="nil"/>
            </w:tcBorders>
            <w:shd w:val="clear" w:color="auto" w:fill="auto"/>
            <w:vAlign w:val="bottom"/>
          </w:tcPr>
          <w:p w14:paraId="3B7F7489" w14:textId="661A4260" w:rsidR="001B0B13" w:rsidRPr="001B0B13" w:rsidRDefault="001B0B13" w:rsidP="001B0B13">
            <w:pPr>
              <w:pStyle w:val="StdCelle"/>
              <w:rPr>
                <w:rFonts w:asciiTheme="minorHAnsi" w:hAnsiTheme="minorHAnsi"/>
              </w:rPr>
            </w:pPr>
            <w:r w:rsidRPr="001B0B13">
              <w:rPr>
                <w:rFonts w:asciiTheme="minorHAnsi" w:hAnsiTheme="minorHAnsi"/>
              </w:rPr>
              <w:t>1</w:t>
            </w:r>
          </w:p>
        </w:tc>
        <w:tc>
          <w:tcPr>
            <w:tcW w:w="1179" w:type="dxa"/>
            <w:tcBorders>
              <w:top w:val="nil"/>
            </w:tcBorders>
            <w:shd w:val="clear" w:color="auto" w:fill="auto"/>
            <w:vAlign w:val="bottom"/>
          </w:tcPr>
          <w:p w14:paraId="23A67C0F" w14:textId="18714FAB" w:rsidR="001B0B13" w:rsidRPr="001B0B13" w:rsidRDefault="001B0B13" w:rsidP="001B0B13">
            <w:pPr>
              <w:pStyle w:val="StdCelle"/>
              <w:rPr>
                <w:rFonts w:asciiTheme="minorHAnsi" w:hAnsiTheme="minorHAnsi"/>
              </w:rPr>
            </w:pPr>
            <w:r w:rsidRPr="001B0B13">
              <w:rPr>
                <w:rFonts w:asciiTheme="minorHAnsi" w:hAnsiTheme="minorHAnsi"/>
              </w:rPr>
              <w:t>0,5</w:t>
            </w:r>
          </w:p>
        </w:tc>
        <w:tc>
          <w:tcPr>
            <w:tcW w:w="1179" w:type="dxa"/>
            <w:tcBorders>
              <w:top w:val="nil"/>
            </w:tcBorders>
            <w:shd w:val="clear" w:color="auto" w:fill="auto"/>
            <w:vAlign w:val="bottom"/>
          </w:tcPr>
          <w:p w14:paraId="44F203DF" w14:textId="4E0A1116" w:rsidR="001B0B13" w:rsidRPr="001B0B13" w:rsidRDefault="001B0B13" w:rsidP="001B0B13">
            <w:pPr>
              <w:pStyle w:val="StdCelle"/>
              <w:rPr>
                <w:rFonts w:asciiTheme="minorHAnsi" w:hAnsiTheme="minorHAnsi"/>
              </w:rPr>
            </w:pPr>
            <w:r w:rsidRPr="001B0B13">
              <w:rPr>
                <w:rFonts w:asciiTheme="minorHAnsi" w:hAnsiTheme="minorHAnsi"/>
              </w:rPr>
              <w:t>1</w:t>
            </w:r>
          </w:p>
        </w:tc>
      </w:tr>
      <w:tr w:rsidR="001B0B13" w14:paraId="74FFCEC5" w14:textId="77777777" w:rsidTr="00585C3A">
        <w:tc>
          <w:tcPr>
            <w:tcW w:w="1180" w:type="dxa"/>
            <w:shd w:val="clear" w:color="auto" w:fill="auto"/>
            <w:vAlign w:val="bottom"/>
          </w:tcPr>
          <w:p w14:paraId="6304FABD" w14:textId="77777777" w:rsidR="001B0B13" w:rsidRPr="001B0B13" w:rsidRDefault="001B0B13" w:rsidP="001B0B13">
            <w:pPr>
              <w:pStyle w:val="StdCelle"/>
              <w:jc w:val="left"/>
              <w:rPr>
                <w:rFonts w:asciiTheme="minorHAnsi" w:hAnsiTheme="minorHAnsi"/>
              </w:rPr>
            </w:pPr>
          </w:p>
        </w:tc>
        <w:tc>
          <w:tcPr>
            <w:tcW w:w="1179" w:type="dxa"/>
            <w:shd w:val="clear" w:color="auto" w:fill="auto"/>
            <w:vAlign w:val="bottom"/>
          </w:tcPr>
          <w:p w14:paraId="51140B9C" w14:textId="733E5B25" w:rsidR="001B0B13" w:rsidRPr="001B0B13" w:rsidRDefault="001B0B13" w:rsidP="001B0B13">
            <w:pPr>
              <w:pStyle w:val="StdCelle"/>
              <w:jc w:val="left"/>
              <w:rPr>
                <w:rFonts w:asciiTheme="minorHAnsi" w:hAnsiTheme="minorHAnsi"/>
              </w:rPr>
            </w:pPr>
            <w:r w:rsidRPr="001B0B13">
              <w:rPr>
                <w:rFonts w:asciiTheme="minorHAnsi" w:hAnsiTheme="minorHAnsi"/>
              </w:rPr>
              <w:t>mængde</w:t>
            </w:r>
          </w:p>
        </w:tc>
        <w:tc>
          <w:tcPr>
            <w:tcW w:w="1179" w:type="dxa"/>
            <w:shd w:val="clear" w:color="auto" w:fill="auto"/>
            <w:vAlign w:val="bottom"/>
          </w:tcPr>
          <w:p w14:paraId="090E4F8B" w14:textId="3A3B98B2" w:rsidR="001B0B13" w:rsidRPr="001B0B13" w:rsidRDefault="001B0B13" w:rsidP="001B0B13">
            <w:pPr>
              <w:pStyle w:val="StdCelle"/>
              <w:rPr>
                <w:rFonts w:asciiTheme="minorHAnsi" w:hAnsiTheme="minorHAnsi"/>
              </w:rPr>
            </w:pPr>
            <w:r w:rsidRPr="001B0B13">
              <w:rPr>
                <w:rFonts w:asciiTheme="minorHAnsi" w:hAnsiTheme="minorHAnsi"/>
              </w:rPr>
              <w:t>1</w:t>
            </w:r>
          </w:p>
        </w:tc>
        <w:tc>
          <w:tcPr>
            <w:tcW w:w="1179" w:type="dxa"/>
            <w:shd w:val="clear" w:color="auto" w:fill="auto"/>
            <w:vAlign w:val="bottom"/>
          </w:tcPr>
          <w:p w14:paraId="050E423E" w14:textId="1B5DC10E" w:rsidR="001B0B13" w:rsidRPr="001B0B13" w:rsidRDefault="001B0B13" w:rsidP="001B0B13">
            <w:pPr>
              <w:pStyle w:val="StdCelle"/>
              <w:rPr>
                <w:rFonts w:asciiTheme="minorHAnsi" w:hAnsiTheme="minorHAnsi"/>
              </w:rPr>
            </w:pPr>
            <w:r w:rsidRPr="001B0B13">
              <w:rPr>
                <w:rFonts w:asciiTheme="minorHAnsi" w:hAnsiTheme="minorHAnsi"/>
              </w:rPr>
              <w:t>2</w:t>
            </w:r>
          </w:p>
        </w:tc>
        <w:tc>
          <w:tcPr>
            <w:tcW w:w="1179" w:type="dxa"/>
            <w:shd w:val="clear" w:color="auto" w:fill="auto"/>
            <w:vAlign w:val="bottom"/>
          </w:tcPr>
          <w:p w14:paraId="0F100796" w14:textId="76C3E823" w:rsidR="001B0B13" w:rsidRPr="001B0B13" w:rsidRDefault="001B0B13" w:rsidP="001B0B13">
            <w:pPr>
              <w:pStyle w:val="StdCelle"/>
              <w:rPr>
                <w:rFonts w:asciiTheme="minorHAnsi" w:hAnsiTheme="minorHAnsi"/>
              </w:rPr>
            </w:pPr>
            <w:r w:rsidRPr="001B0B13">
              <w:rPr>
                <w:rFonts w:asciiTheme="minorHAnsi" w:hAnsiTheme="minorHAnsi"/>
              </w:rPr>
              <w:t>1</w:t>
            </w:r>
          </w:p>
        </w:tc>
      </w:tr>
      <w:tr w:rsidR="001B0B13" w14:paraId="0724DCC9" w14:textId="77777777" w:rsidTr="00585C3A">
        <w:tc>
          <w:tcPr>
            <w:tcW w:w="1180" w:type="dxa"/>
            <w:shd w:val="clear" w:color="auto" w:fill="auto"/>
            <w:vAlign w:val="bottom"/>
          </w:tcPr>
          <w:p w14:paraId="14AC4E22" w14:textId="54AD6D71" w:rsidR="001B0B13" w:rsidRPr="001B0B13" w:rsidRDefault="001B0B13" w:rsidP="001B0B13">
            <w:pPr>
              <w:pStyle w:val="StdCelle"/>
              <w:jc w:val="left"/>
              <w:rPr>
                <w:rFonts w:asciiTheme="minorHAnsi" w:hAnsiTheme="minorHAnsi"/>
              </w:rPr>
            </w:pPr>
            <w:r w:rsidRPr="001B0B13">
              <w:rPr>
                <w:rFonts w:asciiTheme="minorHAnsi" w:hAnsiTheme="minorHAnsi"/>
              </w:rPr>
              <w:t>vare-2</w:t>
            </w:r>
          </w:p>
        </w:tc>
        <w:tc>
          <w:tcPr>
            <w:tcW w:w="1179" w:type="dxa"/>
            <w:shd w:val="clear" w:color="auto" w:fill="auto"/>
            <w:vAlign w:val="bottom"/>
          </w:tcPr>
          <w:p w14:paraId="313E3DDA" w14:textId="1C4C6317" w:rsidR="001B0B13" w:rsidRPr="001B0B13" w:rsidRDefault="001B0B13" w:rsidP="001B0B13">
            <w:pPr>
              <w:pStyle w:val="StdCelle"/>
              <w:jc w:val="left"/>
              <w:rPr>
                <w:rFonts w:asciiTheme="minorHAnsi" w:hAnsiTheme="minorHAnsi"/>
              </w:rPr>
            </w:pPr>
            <w:r w:rsidRPr="001B0B13">
              <w:rPr>
                <w:rFonts w:asciiTheme="minorHAnsi" w:hAnsiTheme="minorHAnsi"/>
              </w:rPr>
              <w:t>pris</w:t>
            </w:r>
          </w:p>
        </w:tc>
        <w:tc>
          <w:tcPr>
            <w:tcW w:w="1179" w:type="dxa"/>
            <w:shd w:val="clear" w:color="auto" w:fill="auto"/>
            <w:vAlign w:val="bottom"/>
          </w:tcPr>
          <w:p w14:paraId="3BD7A352" w14:textId="3982376E" w:rsidR="001B0B13" w:rsidRPr="001B0B13" w:rsidRDefault="001B0B13" w:rsidP="001B0B13">
            <w:pPr>
              <w:pStyle w:val="StdCelle"/>
              <w:rPr>
                <w:rFonts w:asciiTheme="minorHAnsi" w:hAnsiTheme="minorHAnsi"/>
              </w:rPr>
            </w:pPr>
            <w:r w:rsidRPr="001B0B13">
              <w:rPr>
                <w:rFonts w:asciiTheme="minorHAnsi" w:hAnsiTheme="minorHAnsi"/>
              </w:rPr>
              <w:t>1</w:t>
            </w:r>
          </w:p>
        </w:tc>
        <w:tc>
          <w:tcPr>
            <w:tcW w:w="1179" w:type="dxa"/>
            <w:shd w:val="clear" w:color="auto" w:fill="auto"/>
            <w:vAlign w:val="bottom"/>
          </w:tcPr>
          <w:p w14:paraId="5AA1536F" w14:textId="53955B24" w:rsidR="001B0B13" w:rsidRPr="001B0B13" w:rsidRDefault="001B0B13" w:rsidP="001B0B13">
            <w:pPr>
              <w:pStyle w:val="StdCelle"/>
              <w:rPr>
                <w:rFonts w:asciiTheme="minorHAnsi" w:hAnsiTheme="minorHAnsi"/>
              </w:rPr>
            </w:pPr>
            <w:r w:rsidRPr="001B0B13">
              <w:rPr>
                <w:rFonts w:asciiTheme="minorHAnsi" w:hAnsiTheme="minorHAnsi"/>
              </w:rPr>
              <w:t>1</w:t>
            </w:r>
          </w:p>
        </w:tc>
        <w:tc>
          <w:tcPr>
            <w:tcW w:w="1179" w:type="dxa"/>
            <w:shd w:val="clear" w:color="auto" w:fill="auto"/>
            <w:vAlign w:val="bottom"/>
          </w:tcPr>
          <w:p w14:paraId="7A0AB092" w14:textId="23D6484D" w:rsidR="001B0B13" w:rsidRPr="001B0B13" w:rsidRDefault="001B0B13" w:rsidP="001B0B13">
            <w:pPr>
              <w:pStyle w:val="StdCelle"/>
              <w:rPr>
                <w:rFonts w:asciiTheme="minorHAnsi" w:hAnsiTheme="minorHAnsi"/>
              </w:rPr>
            </w:pPr>
            <w:r w:rsidRPr="001B0B13">
              <w:rPr>
                <w:rFonts w:asciiTheme="minorHAnsi" w:hAnsiTheme="minorHAnsi"/>
              </w:rPr>
              <w:t>1</w:t>
            </w:r>
          </w:p>
        </w:tc>
      </w:tr>
      <w:tr w:rsidR="001B0B13" w14:paraId="3885B1FE" w14:textId="77777777" w:rsidTr="001B0B13">
        <w:tc>
          <w:tcPr>
            <w:tcW w:w="1180" w:type="dxa"/>
            <w:tcBorders>
              <w:bottom w:val="single" w:sz="24" w:space="0" w:color="6F6D5C"/>
            </w:tcBorders>
            <w:shd w:val="clear" w:color="auto" w:fill="auto"/>
            <w:vAlign w:val="bottom"/>
          </w:tcPr>
          <w:p w14:paraId="2C36B55B" w14:textId="77777777" w:rsidR="001B0B13" w:rsidRPr="001B0B13" w:rsidRDefault="001B0B13" w:rsidP="001B0B13">
            <w:pPr>
              <w:pStyle w:val="StdCelle"/>
              <w:jc w:val="left"/>
              <w:rPr>
                <w:rFonts w:asciiTheme="minorHAnsi" w:hAnsiTheme="minorHAnsi"/>
              </w:rPr>
            </w:pPr>
          </w:p>
        </w:tc>
        <w:tc>
          <w:tcPr>
            <w:tcW w:w="1179" w:type="dxa"/>
            <w:tcBorders>
              <w:bottom w:val="single" w:sz="24" w:space="0" w:color="6F6D5C"/>
            </w:tcBorders>
            <w:shd w:val="clear" w:color="auto" w:fill="auto"/>
            <w:vAlign w:val="bottom"/>
          </w:tcPr>
          <w:p w14:paraId="49D82F96" w14:textId="6EA06BBD" w:rsidR="001B0B13" w:rsidRPr="001B0B13" w:rsidRDefault="001B0B13" w:rsidP="001B0B13">
            <w:pPr>
              <w:pStyle w:val="StdCelle"/>
              <w:jc w:val="left"/>
              <w:rPr>
                <w:rFonts w:asciiTheme="minorHAnsi" w:hAnsiTheme="minorHAnsi"/>
              </w:rPr>
            </w:pPr>
            <w:r w:rsidRPr="001B0B13">
              <w:rPr>
                <w:rFonts w:asciiTheme="minorHAnsi" w:hAnsiTheme="minorHAnsi"/>
              </w:rPr>
              <w:t>mængde</w:t>
            </w:r>
          </w:p>
        </w:tc>
        <w:tc>
          <w:tcPr>
            <w:tcW w:w="1179" w:type="dxa"/>
            <w:tcBorders>
              <w:bottom w:val="single" w:sz="24" w:space="0" w:color="6F6D5C"/>
            </w:tcBorders>
            <w:shd w:val="clear" w:color="auto" w:fill="auto"/>
            <w:vAlign w:val="bottom"/>
          </w:tcPr>
          <w:p w14:paraId="05A66AEF" w14:textId="1B523397" w:rsidR="001B0B13" w:rsidRPr="001B0B13" w:rsidRDefault="001B0B13" w:rsidP="001B0B13">
            <w:pPr>
              <w:pStyle w:val="StdCelle"/>
              <w:rPr>
                <w:rFonts w:asciiTheme="minorHAnsi" w:hAnsiTheme="minorHAnsi"/>
              </w:rPr>
            </w:pPr>
            <w:r w:rsidRPr="001B0B13">
              <w:rPr>
                <w:rFonts w:asciiTheme="minorHAnsi" w:hAnsiTheme="minorHAnsi"/>
              </w:rPr>
              <w:t>1</w:t>
            </w:r>
          </w:p>
        </w:tc>
        <w:tc>
          <w:tcPr>
            <w:tcW w:w="1179" w:type="dxa"/>
            <w:tcBorders>
              <w:bottom w:val="single" w:sz="24" w:space="0" w:color="6F6D5C"/>
            </w:tcBorders>
            <w:shd w:val="clear" w:color="auto" w:fill="auto"/>
            <w:vAlign w:val="bottom"/>
          </w:tcPr>
          <w:p w14:paraId="5C60F357" w14:textId="3B91D9FC" w:rsidR="001B0B13" w:rsidRPr="001B0B13" w:rsidRDefault="001B0B13" w:rsidP="001B0B13">
            <w:pPr>
              <w:pStyle w:val="StdCelle"/>
              <w:rPr>
                <w:rFonts w:asciiTheme="minorHAnsi" w:hAnsiTheme="minorHAnsi"/>
              </w:rPr>
            </w:pPr>
            <w:r w:rsidRPr="001B0B13">
              <w:rPr>
                <w:rFonts w:asciiTheme="minorHAnsi" w:hAnsiTheme="minorHAnsi"/>
              </w:rPr>
              <w:t>1</w:t>
            </w:r>
          </w:p>
        </w:tc>
        <w:tc>
          <w:tcPr>
            <w:tcW w:w="1179" w:type="dxa"/>
            <w:tcBorders>
              <w:bottom w:val="single" w:sz="24" w:space="0" w:color="6F6D5C"/>
            </w:tcBorders>
            <w:shd w:val="clear" w:color="auto" w:fill="auto"/>
            <w:vAlign w:val="bottom"/>
          </w:tcPr>
          <w:p w14:paraId="0E644A5E" w14:textId="65645FE0" w:rsidR="001B0B13" w:rsidRPr="001B0B13" w:rsidRDefault="001B0B13" w:rsidP="001B0B13">
            <w:pPr>
              <w:pStyle w:val="StdCelle"/>
              <w:rPr>
                <w:rFonts w:asciiTheme="minorHAnsi" w:hAnsiTheme="minorHAnsi"/>
              </w:rPr>
            </w:pPr>
            <w:r w:rsidRPr="001B0B13">
              <w:rPr>
                <w:rFonts w:asciiTheme="minorHAnsi" w:hAnsiTheme="minorHAnsi"/>
              </w:rPr>
              <w:t>1</w:t>
            </w:r>
          </w:p>
        </w:tc>
      </w:tr>
      <w:tr w:rsidR="001B0B13" w14:paraId="54569800" w14:textId="77777777" w:rsidTr="001B0B13">
        <w:tc>
          <w:tcPr>
            <w:tcW w:w="1180" w:type="dxa"/>
            <w:tcBorders>
              <w:top w:val="single" w:sz="24" w:space="0" w:color="6F6D5C"/>
              <w:bottom w:val="nil"/>
            </w:tcBorders>
            <w:shd w:val="clear" w:color="auto" w:fill="auto"/>
            <w:vAlign w:val="bottom"/>
          </w:tcPr>
          <w:p w14:paraId="7C0A3FCD" w14:textId="41FAFB1B" w:rsidR="001B0B13" w:rsidRPr="001B0B13" w:rsidRDefault="001B0B13" w:rsidP="001B0B13">
            <w:pPr>
              <w:pStyle w:val="StdCelle"/>
              <w:spacing w:before="80"/>
              <w:jc w:val="left"/>
              <w:rPr>
                <w:rFonts w:asciiTheme="minorHAnsi" w:hAnsiTheme="minorHAnsi"/>
              </w:rPr>
            </w:pPr>
            <w:r w:rsidRPr="001B0B13">
              <w:rPr>
                <w:rFonts w:asciiTheme="minorHAnsi" w:hAnsiTheme="minorHAnsi"/>
              </w:rPr>
              <w:t>Tid</w:t>
            </w:r>
          </w:p>
        </w:tc>
        <w:tc>
          <w:tcPr>
            <w:tcW w:w="1179" w:type="dxa"/>
            <w:tcBorders>
              <w:top w:val="single" w:sz="24" w:space="0" w:color="6F6D5C"/>
              <w:bottom w:val="nil"/>
            </w:tcBorders>
            <w:shd w:val="clear" w:color="auto" w:fill="auto"/>
            <w:vAlign w:val="bottom"/>
          </w:tcPr>
          <w:p w14:paraId="303E9635" w14:textId="77777777" w:rsidR="001B0B13" w:rsidRPr="001B0B13" w:rsidRDefault="001B0B13" w:rsidP="001B0B13">
            <w:pPr>
              <w:pStyle w:val="StdCelle"/>
              <w:spacing w:before="80"/>
              <w:jc w:val="left"/>
              <w:rPr>
                <w:rFonts w:asciiTheme="minorHAnsi" w:hAnsiTheme="minorHAnsi"/>
              </w:rPr>
            </w:pPr>
          </w:p>
        </w:tc>
        <w:tc>
          <w:tcPr>
            <w:tcW w:w="1179" w:type="dxa"/>
            <w:tcBorders>
              <w:top w:val="single" w:sz="24" w:space="0" w:color="6F6D5C"/>
              <w:bottom w:val="nil"/>
            </w:tcBorders>
            <w:shd w:val="clear" w:color="auto" w:fill="auto"/>
            <w:vAlign w:val="bottom"/>
          </w:tcPr>
          <w:p w14:paraId="6C1536F5" w14:textId="56BF1194" w:rsidR="001B0B13" w:rsidRPr="001B0B13" w:rsidRDefault="001B0B13" w:rsidP="001B0B13">
            <w:pPr>
              <w:pStyle w:val="StdCelle"/>
              <w:spacing w:before="80"/>
              <w:rPr>
                <w:rFonts w:asciiTheme="minorHAnsi" w:hAnsiTheme="minorHAnsi"/>
              </w:rPr>
            </w:pPr>
            <w:r w:rsidRPr="001B0B13">
              <w:rPr>
                <w:rFonts w:asciiTheme="minorHAnsi" w:hAnsiTheme="minorHAnsi"/>
              </w:rPr>
              <w:t>t-0</w:t>
            </w:r>
          </w:p>
        </w:tc>
        <w:tc>
          <w:tcPr>
            <w:tcW w:w="1179" w:type="dxa"/>
            <w:tcBorders>
              <w:top w:val="single" w:sz="24" w:space="0" w:color="6F6D5C"/>
              <w:bottom w:val="nil"/>
            </w:tcBorders>
            <w:shd w:val="clear" w:color="auto" w:fill="auto"/>
            <w:vAlign w:val="bottom"/>
          </w:tcPr>
          <w:p w14:paraId="04EA4EB1" w14:textId="7B12489B" w:rsidR="001B0B13" w:rsidRPr="001B0B13" w:rsidRDefault="001B0B13" w:rsidP="001B0B13">
            <w:pPr>
              <w:pStyle w:val="StdCelle"/>
              <w:spacing w:before="80"/>
              <w:rPr>
                <w:rFonts w:asciiTheme="minorHAnsi" w:hAnsiTheme="minorHAnsi"/>
              </w:rPr>
            </w:pPr>
            <w:r w:rsidRPr="001B0B13">
              <w:rPr>
                <w:rFonts w:asciiTheme="minorHAnsi" w:hAnsiTheme="minorHAnsi"/>
              </w:rPr>
              <w:t>t-1</w:t>
            </w:r>
          </w:p>
        </w:tc>
        <w:tc>
          <w:tcPr>
            <w:tcW w:w="1179" w:type="dxa"/>
            <w:tcBorders>
              <w:top w:val="single" w:sz="24" w:space="0" w:color="6F6D5C"/>
              <w:bottom w:val="nil"/>
            </w:tcBorders>
            <w:shd w:val="clear" w:color="auto" w:fill="auto"/>
            <w:vAlign w:val="bottom"/>
          </w:tcPr>
          <w:p w14:paraId="2BD98F2E" w14:textId="07786D74" w:rsidR="001B0B13" w:rsidRPr="001B0B13" w:rsidRDefault="001B0B13" w:rsidP="001B0B13">
            <w:pPr>
              <w:pStyle w:val="StdCelle"/>
              <w:spacing w:before="80"/>
              <w:rPr>
                <w:rFonts w:asciiTheme="minorHAnsi" w:hAnsiTheme="minorHAnsi"/>
              </w:rPr>
            </w:pPr>
            <w:r w:rsidRPr="001B0B13">
              <w:rPr>
                <w:rFonts w:asciiTheme="minorHAnsi" w:hAnsiTheme="minorHAnsi"/>
              </w:rPr>
              <w:t>t-2</w:t>
            </w:r>
          </w:p>
        </w:tc>
      </w:tr>
      <w:tr w:rsidR="001B0B13" w14:paraId="0029FA59" w14:textId="77777777" w:rsidTr="001B0B13">
        <w:tc>
          <w:tcPr>
            <w:tcW w:w="1180" w:type="dxa"/>
            <w:tcBorders>
              <w:top w:val="nil"/>
              <w:bottom w:val="nil"/>
            </w:tcBorders>
            <w:shd w:val="clear" w:color="auto" w:fill="auto"/>
            <w:vAlign w:val="bottom"/>
          </w:tcPr>
          <w:p w14:paraId="19120BFF" w14:textId="320BBA75" w:rsidR="001B0B13" w:rsidRPr="001B0B13" w:rsidRDefault="001B0B13" w:rsidP="001B0B13">
            <w:pPr>
              <w:pStyle w:val="StdCelle"/>
              <w:spacing w:before="80"/>
              <w:jc w:val="left"/>
              <w:rPr>
                <w:rFonts w:asciiTheme="minorHAnsi" w:hAnsiTheme="minorHAnsi"/>
              </w:rPr>
            </w:pPr>
            <w:r w:rsidRPr="001B0B13">
              <w:rPr>
                <w:rFonts w:asciiTheme="minorHAnsi" w:hAnsiTheme="minorHAnsi"/>
              </w:rPr>
              <w:t>Samlede indeks</w:t>
            </w:r>
          </w:p>
        </w:tc>
        <w:tc>
          <w:tcPr>
            <w:tcW w:w="1179" w:type="dxa"/>
            <w:tcBorders>
              <w:top w:val="nil"/>
              <w:bottom w:val="nil"/>
            </w:tcBorders>
            <w:shd w:val="clear" w:color="auto" w:fill="auto"/>
            <w:vAlign w:val="bottom"/>
          </w:tcPr>
          <w:p w14:paraId="646300DD" w14:textId="06FCE0A4" w:rsidR="001B0B13" w:rsidRPr="001B0B13" w:rsidRDefault="001B0B13" w:rsidP="001B0B13">
            <w:pPr>
              <w:pStyle w:val="StdCelle"/>
              <w:spacing w:before="80"/>
              <w:jc w:val="left"/>
              <w:rPr>
                <w:rFonts w:asciiTheme="minorHAnsi" w:hAnsiTheme="minorHAnsi"/>
              </w:rPr>
            </w:pPr>
            <w:proofErr w:type="spellStart"/>
            <w:r w:rsidRPr="001B0B13">
              <w:rPr>
                <w:rFonts w:asciiTheme="minorHAnsi" w:hAnsiTheme="minorHAnsi"/>
              </w:rPr>
              <w:t>Paasche</w:t>
            </w:r>
            <w:proofErr w:type="spellEnd"/>
          </w:p>
        </w:tc>
        <w:tc>
          <w:tcPr>
            <w:tcW w:w="1179" w:type="dxa"/>
            <w:tcBorders>
              <w:top w:val="nil"/>
              <w:bottom w:val="nil"/>
            </w:tcBorders>
            <w:shd w:val="clear" w:color="auto" w:fill="auto"/>
            <w:vAlign w:val="bottom"/>
          </w:tcPr>
          <w:p w14:paraId="45250636" w14:textId="2E42A7A8" w:rsidR="001B0B13" w:rsidRPr="001B0B13" w:rsidRDefault="001B0B13" w:rsidP="001B0B13">
            <w:pPr>
              <w:pStyle w:val="StdCelle"/>
              <w:spacing w:before="80"/>
              <w:rPr>
                <w:rFonts w:asciiTheme="minorHAnsi" w:hAnsiTheme="minorHAnsi"/>
              </w:rPr>
            </w:pPr>
            <w:r w:rsidRPr="001B0B13">
              <w:rPr>
                <w:rFonts w:asciiTheme="minorHAnsi" w:hAnsiTheme="minorHAnsi"/>
              </w:rPr>
              <w:t>1</w:t>
            </w:r>
          </w:p>
        </w:tc>
        <w:tc>
          <w:tcPr>
            <w:tcW w:w="1179" w:type="dxa"/>
            <w:tcBorders>
              <w:top w:val="nil"/>
              <w:bottom w:val="nil"/>
            </w:tcBorders>
            <w:shd w:val="clear" w:color="auto" w:fill="auto"/>
            <w:vAlign w:val="bottom"/>
          </w:tcPr>
          <w:p w14:paraId="386C1CFC" w14:textId="4E2694B9" w:rsidR="001B0B13" w:rsidRPr="001B0B13" w:rsidRDefault="001B0B13" w:rsidP="001B0B13">
            <w:pPr>
              <w:pStyle w:val="StdCelle"/>
              <w:spacing w:before="80"/>
              <w:rPr>
                <w:rFonts w:asciiTheme="minorHAnsi" w:hAnsiTheme="minorHAnsi"/>
              </w:rPr>
            </w:pPr>
            <w:r w:rsidRPr="001B0B13">
              <w:rPr>
                <w:rFonts w:asciiTheme="minorHAnsi" w:hAnsiTheme="minorHAnsi"/>
              </w:rPr>
              <w:t>0,667</w:t>
            </w:r>
          </w:p>
        </w:tc>
        <w:tc>
          <w:tcPr>
            <w:tcW w:w="1179" w:type="dxa"/>
            <w:tcBorders>
              <w:top w:val="nil"/>
              <w:bottom w:val="nil"/>
            </w:tcBorders>
            <w:shd w:val="clear" w:color="auto" w:fill="auto"/>
            <w:vAlign w:val="bottom"/>
          </w:tcPr>
          <w:p w14:paraId="26A0C172" w14:textId="39245BFE" w:rsidR="001B0B13" w:rsidRPr="001B0B13" w:rsidRDefault="001B0B13" w:rsidP="001B0B13">
            <w:pPr>
              <w:pStyle w:val="StdCelle"/>
              <w:spacing w:before="80"/>
              <w:rPr>
                <w:rFonts w:asciiTheme="minorHAnsi" w:hAnsiTheme="minorHAnsi"/>
              </w:rPr>
            </w:pPr>
            <w:r w:rsidRPr="001B0B13">
              <w:rPr>
                <w:rFonts w:asciiTheme="minorHAnsi" w:hAnsiTheme="minorHAnsi"/>
              </w:rPr>
              <w:t>0,889</w:t>
            </w:r>
          </w:p>
        </w:tc>
      </w:tr>
      <w:tr w:rsidR="001B0B13" w14:paraId="02CB3681" w14:textId="77777777" w:rsidTr="001B0B13">
        <w:tc>
          <w:tcPr>
            <w:tcW w:w="1180" w:type="dxa"/>
            <w:tcBorders>
              <w:top w:val="nil"/>
              <w:bottom w:val="nil"/>
            </w:tcBorders>
            <w:shd w:val="clear" w:color="auto" w:fill="auto"/>
            <w:vAlign w:val="bottom"/>
          </w:tcPr>
          <w:p w14:paraId="6575EA31" w14:textId="77777777" w:rsidR="001B0B13" w:rsidRPr="001B0B13" w:rsidRDefault="001B0B13" w:rsidP="001B0B13">
            <w:pPr>
              <w:pStyle w:val="StdCelle"/>
              <w:spacing w:before="80"/>
              <w:jc w:val="left"/>
              <w:rPr>
                <w:rFonts w:asciiTheme="minorHAnsi" w:hAnsiTheme="minorHAnsi"/>
              </w:rPr>
            </w:pPr>
          </w:p>
        </w:tc>
        <w:tc>
          <w:tcPr>
            <w:tcW w:w="1179" w:type="dxa"/>
            <w:tcBorders>
              <w:top w:val="nil"/>
              <w:bottom w:val="nil"/>
            </w:tcBorders>
            <w:shd w:val="clear" w:color="auto" w:fill="auto"/>
            <w:vAlign w:val="bottom"/>
          </w:tcPr>
          <w:p w14:paraId="77A64D0A" w14:textId="42E9F07F" w:rsidR="001B0B13" w:rsidRPr="001B0B13" w:rsidRDefault="001B0B13" w:rsidP="001B0B13">
            <w:pPr>
              <w:pStyle w:val="StdCelle"/>
              <w:spacing w:before="80"/>
              <w:jc w:val="left"/>
              <w:rPr>
                <w:rFonts w:asciiTheme="minorHAnsi" w:hAnsiTheme="minorHAnsi"/>
              </w:rPr>
            </w:pPr>
            <w:proofErr w:type="spellStart"/>
            <w:r w:rsidRPr="001B0B13">
              <w:rPr>
                <w:rFonts w:asciiTheme="minorHAnsi" w:hAnsiTheme="minorHAnsi"/>
              </w:rPr>
              <w:t>Laspeyres</w:t>
            </w:r>
            <w:proofErr w:type="spellEnd"/>
          </w:p>
        </w:tc>
        <w:tc>
          <w:tcPr>
            <w:tcW w:w="1179" w:type="dxa"/>
            <w:tcBorders>
              <w:top w:val="nil"/>
              <w:bottom w:val="nil"/>
            </w:tcBorders>
            <w:shd w:val="clear" w:color="auto" w:fill="auto"/>
            <w:vAlign w:val="bottom"/>
          </w:tcPr>
          <w:p w14:paraId="41E66ECC" w14:textId="23BC0E15" w:rsidR="001B0B13" w:rsidRPr="001B0B13" w:rsidRDefault="001B0B13" w:rsidP="001B0B13">
            <w:pPr>
              <w:pStyle w:val="StdCelle"/>
              <w:spacing w:before="80"/>
              <w:rPr>
                <w:rFonts w:asciiTheme="minorHAnsi" w:hAnsiTheme="minorHAnsi"/>
              </w:rPr>
            </w:pPr>
            <w:r w:rsidRPr="001B0B13">
              <w:rPr>
                <w:rFonts w:asciiTheme="minorHAnsi" w:hAnsiTheme="minorHAnsi"/>
              </w:rPr>
              <w:t>1</w:t>
            </w:r>
          </w:p>
        </w:tc>
        <w:tc>
          <w:tcPr>
            <w:tcW w:w="1179" w:type="dxa"/>
            <w:tcBorders>
              <w:top w:val="nil"/>
              <w:bottom w:val="nil"/>
            </w:tcBorders>
            <w:shd w:val="clear" w:color="auto" w:fill="auto"/>
            <w:vAlign w:val="bottom"/>
          </w:tcPr>
          <w:p w14:paraId="40354CD2" w14:textId="0074FC39" w:rsidR="001B0B13" w:rsidRPr="001B0B13" w:rsidRDefault="001B0B13" w:rsidP="001B0B13">
            <w:pPr>
              <w:pStyle w:val="StdCelle"/>
              <w:spacing w:before="80"/>
              <w:rPr>
                <w:rFonts w:asciiTheme="minorHAnsi" w:hAnsiTheme="minorHAnsi"/>
              </w:rPr>
            </w:pPr>
            <w:r w:rsidRPr="001B0B13">
              <w:rPr>
                <w:rFonts w:asciiTheme="minorHAnsi" w:hAnsiTheme="minorHAnsi"/>
              </w:rPr>
              <w:t>0,75</w:t>
            </w:r>
          </w:p>
        </w:tc>
        <w:tc>
          <w:tcPr>
            <w:tcW w:w="1179" w:type="dxa"/>
            <w:tcBorders>
              <w:top w:val="nil"/>
              <w:bottom w:val="nil"/>
            </w:tcBorders>
            <w:shd w:val="clear" w:color="auto" w:fill="auto"/>
            <w:vAlign w:val="bottom"/>
          </w:tcPr>
          <w:p w14:paraId="57D0DD6B" w14:textId="22FCB9DA" w:rsidR="001B0B13" w:rsidRPr="001B0B13" w:rsidRDefault="001B0B13" w:rsidP="001B0B13">
            <w:pPr>
              <w:pStyle w:val="StdCelle"/>
              <w:spacing w:before="80"/>
              <w:rPr>
                <w:rFonts w:asciiTheme="minorHAnsi" w:hAnsiTheme="minorHAnsi"/>
              </w:rPr>
            </w:pPr>
            <w:r w:rsidRPr="001B0B13">
              <w:rPr>
                <w:rFonts w:asciiTheme="minorHAnsi" w:hAnsiTheme="minorHAnsi"/>
              </w:rPr>
              <w:t>1,125</w:t>
            </w:r>
          </w:p>
        </w:tc>
      </w:tr>
      <w:tr w:rsidR="001B0B13" w14:paraId="72EC7182" w14:textId="77777777" w:rsidTr="001B0B13">
        <w:tc>
          <w:tcPr>
            <w:tcW w:w="1180" w:type="dxa"/>
            <w:tcBorders>
              <w:top w:val="nil"/>
              <w:bottom w:val="single" w:sz="12" w:space="0" w:color="6F6D5C"/>
            </w:tcBorders>
            <w:shd w:val="clear" w:color="auto" w:fill="auto"/>
            <w:vAlign w:val="bottom"/>
          </w:tcPr>
          <w:p w14:paraId="48F6A42A" w14:textId="77777777" w:rsidR="001B0B13" w:rsidRPr="001B0B13" w:rsidRDefault="001B0B13" w:rsidP="001B0B13">
            <w:pPr>
              <w:pStyle w:val="StdCelle"/>
              <w:spacing w:before="80" w:after="80"/>
              <w:jc w:val="left"/>
              <w:rPr>
                <w:rFonts w:asciiTheme="minorHAnsi" w:hAnsiTheme="minorHAnsi"/>
              </w:rPr>
            </w:pPr>
          </w:p>
        </w:tc>
        <w:tc>
          <w:tcPr>
            <w:tcW w:w="1179" w:type="dxa"/>
            <w:tcBorders>
              <w:top w:val="nil"/>
              <w:bottom w:val="single" w:sz="12" w:space="0" w:color="6F6D5C"/>
            </w:tcBorders>
            <w:shd w:val="clear" w:color="auto" w:fill="auto"/>
            <w:vAlign w:val="bottom"/>
          </w:tcPr>
          <w:p w14:paraId="3904CD08" w14:textId="54729AF0" w:rsidR="001B0B13" w:rsidRPr="001B0B13" w:rsidRDefault="001B0B13" w:rsidP="001B0B13">
            <w:pPr>
              <w:pStyle w:val="StdCelle"/>
              <w:spacing w:before="80" w:after="80"/>
              <w:jc w:val="left"/>
              <w:rPr>
                <w:rFonts w:asciiTheme="minorHAnsi" w:hAnsiTheme="minorHAnsi"/>
              </w:rPr>
            </w:pPr>
            <w:r w:rsidRPr="001B0B13">
              <w:rPr>
                <w:rFonts w:asciiTheme="minorHAnsi" w:hAnsiTheme="minorHAnsi"/>
              </w:rPr>
              <w:t>Fisher</w:t>
            </w:r>
          </w:p>
        </w:tc>
        <w:tc>
          <w:tcPr>
            <w:tcW w:w="1179" w:type="dxa"/>
            <w:tcBorders>
              <w:top w:val="nil"/>
              <w:bottom w:val="single" w:sz="12" w:space="0" w:color="6F6D5C"/>
            </w:tcBorders>
            <w:shd w:val="clear" w:color="auto" w:fill="auto"/>
            <w:vAlign w:val="bottom"/>
          </w:tcPr>
          <w:p w14:paraId="083A7A5C" w14:textId="4BAEDE1D" w:rsidR="001B0B13" w:rsidRPr="001B0B13" w:rsidRDefault="001B0B13" w:rsidP="001B0B13">
            <w:pPr>
              <w:pStyle w:val="StdCelle"/>
              <w:spacing w:before="80" w:after="80"/>
              <w:rPr>
                <w:rFonts w:asciiTheme="minorHAnsi" w:hAnsiTheme="minorHAnsi"/>
              </w:rPr>
            </w:pPr>
            <w:r w:rsidRPr="001B0B13">
              <w:rPr>
                <w:rFonts w:asciiTheme="minorHAnsi" w:hAnsiTheme="minorHAnsi"/>
              </w:rPr>
              <w:t>1</w:t>
            </w:r>
          </w:p>
        </w:tc>
        <w:tc>
          <w:tcPr>
            <w:tcW w:w="1179" w:type="dxa"/>
            <w:tcBorders>
              <w:top w:val="nil"/>
              <w:bottom w:val="single" w:sz="12" w:space="0" w:color="6F6D5C"/>
            </w:tcBorders>
            <w:shd w:val="clear" w:color="auto" w:fill="auto"/>
            <w:vAlign w:val="bottom"/>
          </w:tcPr>
          <w:p w14:paraId="4674D5B7" w14:textId="0E8BD681" w:rsidR="001B0B13" w:rsidRPr="001B0B13" w:rsidRDefault="001B0B13" w:rsidP="001B0B13">
            <w:pPr>
              <w:pStyle w:val="StdCelle"/>
              <w:spacing w:before="80" w:after="80"/>
              <w:rPr>
                <w:rFonts w:asciiTheme="minorHAnsi" w:hAnsiTheme="minorHAnsi"/>
              </w:rPr>
            </w:pPr>
            <w:r w:rsidRPr="001B0B13">
              <w:rPr>
                <w:rFonts w:asciiTheme="minorHAnsi" w:hAnsiTheme="minorHAnsi"/>
              </w:rPr>
              <w:t>0,707</w:t>
            </w:r>
          </w:p>
        </w:tc>
        <w:tc>
          <w:tcPr>
            <w:tcW w:w="1179" w:type="dxa"/>
            <w:tcBorders>
              <w:top w:val="nil"/>
              <w:bottom w:val="single" w:sz="12" w:space="0" w:color="6F6D5C"/>
            </w:tcBorders>
            <w:shd w:val="clear" w:color="auto" w:fill="auto"/>
            <w:vAlign w:val="bottom"/>
          </w:tcPr>
          <w:p w14:paraId="0B37B376" w14:textId="25B0CFC8" w:rsidR="001B0B13" w:rsidRPr="001B0B13" w:rsidRDefault="001B0B13" w:rsidP="001B0B13">
            <w:pPr>
              <w:pStyle w:val="StdCelle"/>
              <w:spacing w:before="80" w:after="80"/>
              <w:rPr>
                <w:rFonts w:asciiTheme="minorHAnsi" w:hAnsiTheme="minorHAnsi"/>
              </w:rPr>
            </w:pPr>
            <w:r w:rsidRPr="001B0B13">
              <w:rPr>
                <w:rFonts w:asciiTheme="minorHAnsi" w:hAnsiTheme="minorHAnsi"/>
              </w:rPr>
              <w:t>1</w:t>
            </w:r>
          </w:p>
        </w:tc>
      </w:tr>
    </w:tbl>
    <w:p w14:paraId="2B47032A" w14:textId="77777777" w:rsidR="001B0B13" w:rsidRPr="001B0B13" w:rsidRDefault="001B0B13" w:rsidP="001B0B13"/>
    <w:p w14:paraId="34A8EFF6" w14:textId="739FBF87" w:rsidR="00A613EC" w:rsidRPr="00E53D21" w:rsidRDefault="00A613EC" w:rsidP="00A613EC">
      <w:proofErr w:type="spellStart"/>
      <w:r w:rsidRPr="000E5F7A">
        <w:t>Paasche</w:t>
      </w:r>
      <w:proofErr w:type="spellEnd"/>
      <w:r w:rsidRPr="000E5F7A">
        <w:t xml:space="preserve">- og </w:t>
      </w:r>
      <w:proofErr w:type="spellStart"/>
      <w:r w:rsidRPr="000E5F7A">
        <w:t>Laspeyres</w:t>
      </w:r>
      <w:proofErr w:type="spellEnd"/>
      <w:r w:rsidRPr="000E5F7A">
        <w:t xml:space="preserve">-indekserne giver den nedre og øvre grænse af den reelle prisændring. Fisher-indekset ligger mellem de to indeks og </w:t>
      </w:r>
      <w:r>
        <w:t>kan være de</w:t>
      </w:r>
      <w:r w:rsidR="001B0B13">
        <w:t>t</w:t>
      </w:r>
      <w:r>
        <w:t xml:space="preserve"> bedste bud</w:t>
      </w:r>
      <w:r w:rsidR="001B0B13">
        <w:t>,</w:t>
      </w:r>
      <w:r>
        <w:t xml:space="preserve"> til den ægte</w:t>
      </w:r>
      <w:r w:rsidR="001B0B13">
        <w:t>,</w:t>
      </w:r>
      <w:r>
        <w:t xml:space="preserve"> men ikke observerede</w:t>
      </w:r>
      <w:r w:rsidR="001B0B13">
        <w:t>,</w:t>
      </w:r>
      <w:r>
        <w:t xml:space="preserve"> samlede pris.</w:t>
      </w:r>
    </w:p>
    <w:p w14:paraId="500A9332" w14:textId="77777777" w:rsidR="00E24AF1" w:rsidRPr="001B0B13" w:rsidRDefault="00E24AF1" w:rsidP="005B157C">
      <w:pPr>
        <w:rPr>
          <w:b/>
        </w:rPr>
      </w:pPr>
    </w:p>
    <w:p w14:paraId="40BDD568" w14:textId="2AAADA58" w:rsidR="006848BA" w:rsidRPr="001B0B13" w:rsidRDefault="006848BA" w:rsidP="005B157C">
      <w:pPr>
        <w:rPr>
          <w:b/>
        </w:rPr>
      </w:pPr>
      <w:r w:rsidRPr="001B0B13">
        <w:rPr>
          <w:b/>
        </w:rPr>
        <w:t xml:space="preserve">2.5 Sammenlignelighed over tid </w:t>
      </w:r>
    </w:p>
    <w:p w14:paraId="4DB0D45E" w14:textId="77777777" w:rsidR="006848BA" w:rsidRPr="001B0B13" w:rsidRDefault="006848BA" w:rsidP="005B157C"/>
    <w:p w14:paraId="13CFEEF8" w14:textId="26A23452" w:rsidR="005B10B1" w:rsidRPr="001B0B13" w:rsidRDefault="00DF4042" w:rsidP="005B10B1">
      <w:r w:rsidRPr="001B0B13">
        <w:t>De indeks</w:t>
      </w:r>
      <w:r w:rsidR="005B10B1" w:rsidRPr="001B0B13">
        <w:t xml:space="preserve"> der er offentliggjort i 2020</w:t>
      </w:r>
      <w:r w:rsidRPr="001B0B13">
        <w:t xml:space="preserve"> erstatter indeks</w:t>
      </w:r>
      <w:r w:rsidR="005B10B1" w:rsidRPr="001B0B13">
        <w:t xml:space="preserve"> beregnet efter en gammel metode. </w:t>
      </w:r>
      <w:r w:rsidR="005B10B1" w:rsidRPr="001B0B13">
        <w:t>Disse indeks er beregnet efter en ny metode baseret på SITC-rev. 4 klassifikation, og offentliggøres på månedsbasis fra 2007 og frem.</w:t>
      </w:r>
    </w:p>
    <w:p w14:paraId="2B0F6B40" w14:textId="37BDEAA2" w:rsidR="005B10B1" w:rsidRPr="001B0B13" w:rsidRDefault="005B10B1" w:rsidP="005B157C"/>
    <w:p w14:paraId="4868A9F5" w14:textId="23BA1C44" w:rsidR="006848BA" w:rsidRPr="001B0B13" w:rsidRDefault="005B10B1" w:rsidP="005B157C">
      <w:r w:rsidRPr="001B0B13">
        <w:t>Fra</w:t>
      </w:r>
      <w:r w:rsidR="00DF4042" w:rsidRPr="001B0B13">
        <w:t xml:space="preserve"> 2001</w:t>
      </w:r>
      <w:r w:rsidRPr="001B0B13">
        <w:t xml:space="preserve"> til 2020 beregnes udenrigshandels indeksene</w:t>
      </w:r>
      <w:r w:rsidR="00DF4042" w:rsidRPr="001B0B13">
        <w:t xml:space="preserve"> og offentliggøres på månedsbasis</w:t>
      </w:r>
      <w:r w:rsidRPr="001B0B13">
        <w:t>. Serien går</w:t>
      </w:r>
      <w:r w:rsidR="00603440" w:rsidRPr="001B0B13">
        <w:t xml:space="preserve"> tilbage til januar 1995. </w:t>
      </w:r>
    </w:p>
    <w:p w14:paraId="724CED86" w14:textId="77777777" w:rsidR="005B10B1" w:rsidRPr="001B0B13" w:rsidRDefault="005B10B1" w:rsidP="005B157C"/>
    <w:p w14:paraId="0C411F80" w14:textId="77777777" w:rsidR="006848BA" w:rsidRDefault="006848BA" w:rsidP="005B157C">
      <w:r w:rsidRPr="001B0B13">
        <w:t xml:space="preserve">Indtil 2001 blev indeks beregnet og offentliggjort som </w:t>
      </w:r>
      <w:r>
        <w:t xml:space="preserve">kvartalsindeks. Kvartalsindeks er således beregnet for perioden fra 1. kvartal 1980 til 2. kvartal 2001. </w:t>
      </w:r>
    </w:p>
    <w:p w14:paraId="396221AE" w14:textId="77777777" w:rsidR="006848BA" w:rsidRDefault="006848BA" w:rsidP="005B157C"/>
    <w:p w14:paraId="04B2E230" w14:textId="77777777" w:rsidR="00E24AF1" w:rsidRPr="00E55A7D" w:rsidRDefault="006848BA" w:rsidP="005B157C">
      <w:r>
        <w:t>Et månedsindeks er tidligere beregnet på totalniveau for perioden fra januar 1977</w:t>
      </w:r>
      <w:r w:rsidR="00E55A7D">
        <w:t xml:space="preserve"> til december 1992. </w:t>
      </w:r>
    </w:p>
    <w:p w14:paraId="5D9BF3F9" w14:textId="77777777" w:rsidR="00E24AF1" w:rsidRDefault="00E24AF1" w:rsidP="005B157C">
      <w:pPr>
        <w:rPr>
          <w:b/>
        </w:rPr>
      </w:pPr>
    </w:p>
    <w:p w14:paraId="42EB7B90" w14:textId="77777777" w:rsidR="00110878" w:rsidRDefault="00110878" w:rsidP="005B157C"/>
    <w:p w14:paraId="5EF01090" w14:textId="36AD58FD" w:rsidR="00110878" w:rsidRPr="00110878" w:rsidRDefault="00110878" w:rsidP="005B157C">
      <w:pPr>
        <w:rPr>
          <w:b/>
        </w:rPr>
      </w:pPr>
      <w:r w:rsidRPr="00110878">
        <w:rPr>
          <w:b/>
        </w:rPr>
        <w:t xml:space="preserve">2.6 Anvendte klassifikationer </w:t>
      </w:r>
    </w:p>
    <w:p w14:paraId="3AB84891" w14:textId="77777777" w:rsidR="00110878" w:rsidRPr="00110878" w:rsidRDefault="00110878" w:rsidP="005B157C">
      <w:pPr>
        <w:rPr>
          <w:b/>
        </w:rPr>
      </w:pPr>
    </w:p>
    <w:p w14:paraId="4AC4BDDD" w14:textId="77777777" w:rsidR="00110878" w:rsidRPr="00110878" w:rsidRDefault="00110878" w:rsidP="005B157C">
      <w:pPr>
        <w:rPr>
          <w:b/>
        </w:rPr>
      </w:pPr>
      <w:r w:rsidRPr="00110878">
        <w:rPr>
          <w:b/>
        </w:rPr>
        <w:t xml:space="preserve">a. EU’s kombinerede nomenklatur </w:t>
      </w:r>
    </w:p>
    <w:p w14:paraId="78B4A34B" w14:textId="77777777" w:rsidR="00110878" w:rsidRDefault="00110878" w:rsidP="005B157C"/>
    <w:p w14:paraId="44E9768C" w14:textId="77777777" w:rsidR="00110878" w:rsidRDefault="00110878" w:rsidP="005B157C">
      <w:r>
        <w:t>Den kombinerede nomenklatur er den varefortegnelse EU lægger til grund for opgørelse af deres samhandel, samt handel med ikke-</w:t>
      </w:r>
      <w:proofErr w:type="spellStart"/>
      <w:r>
        <w:t>EUlande</w:t>
      </w:r>
      <w:proofErr w:type="spellEnd"/>
      <w:r>
        <w:t xml:space="preserve">. I den danske udenrigshandelsstatistik sker offentliggørelse af de mest detaljerede vareoplysninger på grundlag af det kvartalvise nationalregnskab. </w:t>
      </w:r>
    </w:p>
    <w:p w14:paraId="4B75ADE7" w14:textId="77777777" w:rsidR="00110878" w:rsidRDefault="00110878" w:rsidP="005B157C"/>
    <w:p w14:paraId="7C9D56F9" w14:textId="77777777" w:rsidR="00110878" w:rsidRPr="00110878" w:rsidRDefault="00110878" w:rsidP="005B157C">
      <w:pPr>
        <w:rPr>
          <w:b/>
        </w:rPr>
      </w:pPr>
      <w:r w:rsidRPr="00110878">
        <w:rPr>
          <w:b/>
        </w:rPr>
        <w:t xml:space="preserve">b. SITC-varegruppering </w:t>
      </w:r>
    </w:p>
    <w:p w14:paraId="3B1E896A" w14:textId="77777777" w:rsidR="00110878" w:rsidRDefault="00110878" w:rsidP="005B157C"/>
    <w:p w14:paraId="1D8A8432" w14:textId="77777777" w:rsidR="00110878" w:rsidRDefault="00110878" w:rsidP="005B157C">
      <w:r>
        <w:t xml:space="preserve">Ved offentliggørelse af den nye indeks anvendes FN’s Standard International Trade </w:t>
      </w:r>
      <w:proofErr w:type="spellStart"/>
      <w:r>
        <w:t>Classification</w:t>
      </w:r>
      <w:proofErr w:type="spellEnd"/>
      <w:r>
        <w:t xml:space="preserve"> Revision 4 (SITC Rev 4). </w:t>
      </w:r>
    </w:p>
    <w:p w14:paraId="65FE4016" w14:textId="77777777" w:rsidR="00110878" w:rsidRDefault="00110878" w:rsidP="005B157C"/>
    <w:p w14:paraId="65ED8899" w14:textId="77777777" w:rsidR="00E24AF1" w:rsidRDefault="00E24AF1" w:rsidP="005B157C">
      <w:pPr>
        <w:rPr>
          <w:b/>
        </w:rPr>
      </w:pPr>
    </w:p>
    <w:p w14:paraId="649E320B" w14:textId="73B7EAFB" w:rsidR="008212AC" w:rsidRPr="008212AC" w:rsidRDefault="008212AC" w:rsidP="005B157C">
      <w:pPr>
        <w:rPr>
          <w:b/>
        </w:rPr>
      </w:pPr>
      <w:r w:rsidRPr="008212AC">
        <w:rPr>
          <w:b/>
        </w:rPr>
        <w:t xml:space="preserve">2.7 International sammenlignelighed </w:t>
      </w:r>
    </w:p>
    <w:p w14:paraId="23F2AF62" w14:textId="77777777" w:rsidR="008212AC" w:rsidRDefault="008212AC" w:rsidP="005B157C"/>
    <w:p w14:paraId="303EFED8" w14:textId="77777777" w:rsidR="008212AC" w:rsidRDefault="008212AC" w:rsidP="005B157C">
      <w:r>
        <w:t xml:space="preserve">Der findes ikke en international standard for beregning af indeks for udenrigshandelen, og indeks er derfor ikke internationalt sammenlignelige, medmindre andre landes indeks er baseret på samme beregningsmetode. </w:t>
      </w:r>
    </w:p>
    <w:p w14:paraId="7BC37FCE" w14:textId="77777777" w:rsidR="008212AC" w:rsidRDefault="008212AC" w:rsidP="005B157C"/>
    <w:p w14:paraId="160AEBCA" w14:textId="440A914C" w:rsidR="008212AC" w:rsidRPr="008212AC" w:rsidRDefault="008212AC" w:rsidP="005B157C">
      <w:pPr>
        <w:rPr>
          <w:b/>
        </w:rPr>
      </w:pPr>
      <w:r w:rsidRPr="008212AC">
        <w:rPr>
          <w:b/>
        </w:rPr>
        <w:t xml:space="preserve">2.8 Muligheder for særkørsler </w:t>
      </w:r>
    </w:p>
    <w:p w14:paraId="3C0451DD" w14:textId="77777777" w:rsidR="008212AC" w:rsidRDefault="008212AC" w:rsidP="005B157C"/>
    <w:p w14:paraId="0CC56EF1" w14:textId="77777777" w:rsidR="008212AC" w:rsidRDefault="008212AC" w:rsidP="005B157C">
      <w:r>
        <w:t xml:space="preserve">Der er mulighed for særkørsler. </w:t>
      </w:r>
    </w:p>
    <w:p w14:paraId="0D3DDD5C" w14:textId="77777777" w:rsidR="008212AC" w:rsidRDefault="008212AC" w:rsidP="005B157C"/>
    <w:p w14:paraId="1961C2AE" w14:textId="0A2476B8" w:rsidR="00110878" w:rsidRPr="008212AC" w:rsidRDefault="008212AC" w:rsidP="005B157C">
      <w:pPr>
        <w:rPr>
          <w:b/>
        </w:rPr>
      </w:pPr>
      <w:r w:rsidRPr="008212AC">
        <w:rPr>
          <w:b/>
        </w:rPr>
        <w:t>3 Beregningen af indekset</w:t>
      </w:r>
    </w:p>
    <w:p w14:paraId="56763FC9" w14:textId="77777777" w:rsidR="00E24AF1" w:rsidRDefault="00E24AF1" w:rsidP="005B157C">
      <w:pPr>
        <w:rPr>
          <w:b/>
        </w:rPr>
      </w:pPr>
    </w:p>
    <w:p w14:paraId="1179F32A" w14:textId="5CF026F0" w:rsidR="004A15AA" w:rsidRPr="004A15AA" w:rsidRDefault="004A15AA" w:rsidP="005B157C">
      <w:pPr>
        <w:rPr>
          <w:b/>
        </w:rPr>
      </w:pPr>
      <w:r w:rsidRPr="004A15AA">
        <w:rPr>
          <w:b/>
        </w:rPr>
        <w:t xml:space="preserve">3.1 Vægtgrundlag </w:t>
      </w:r>
    </w:p>
    <w:p w14:paraId="0E725060" w14:textId="77777777" w:rsidR="004A15AA" w:rsidRPr="004A15AA" w:rsidRDefault="004A15AA" w:rsidP="005B157C">
      <w:pPr>
        <w:rPr>
          <w:b/>
        </w:rPr>
      </w:pPr>
    </w:p>
    <w:p w14:paraId="52823C9B" w14:textId="77777777" w:rsidR="004A15AA" w:rsidRPr="004A15AA" w:rsidRDefault="004A15AA" w:rsidP="005B157C">
      <w:pPr>
        <w:rPr>
          <w:b/>
        </w:rPr>
      </w:pPr>
      <w:r w:rsidRPr="004A15AA">
        <w:rPr>
          <w:b/>
        </w:rPr>
        <w:t xml:space="preserve">a. Kilder og beregning </w:t>
      </w:r>
    </w:p>
    <w:p w14:paraId="695BD5F5" w14:textId="77777777" w:rsidR="004A15AA" w:rsidRDefault="004A15AA" w:rsidP="005B157C"/>
    <w:p w14:paraId="032BF512" w14:textId="77777777" w:rsidR="004A15AA" w:rsidRDefault="004A15AA" w:rsidP="005B157C">
      <w:r>
        <w:t xml:space="preserve">Udenrigshandelen er baseret på de værdier og mængder der indberettes af de ca. 30.000 virksomheder, der er omfattet af Udenrigshandelsstatistikken. Beregningen af enhedsværdiindeks og mængdeindeks tilvejebringer således et indeks, der kan benyttes som et fællesudtryk for pris- og mængdeudviklingen for varepositionerne i Den Kombinerede Nomenklatur, der kan henføres til en bestemt varegruppe. Ved beregning af enhedsværdiindeks for disse grupper summeres indeks for de enkelte varepositioner med tilhørende mængde som vægtgrundlag. </w:t>
      </w:r>
    </w:p>
    <w:p w14:paraId="48655794" w14:textId="77777777" w:rsidR="004A15AA" w:rsidRDefault="004A15AA" w:rsidP="005B157C"/>
    <w:p w14:paraId="72DDB0C4" w14:textId="77777777" w:rsidR="004A15AA" w:rsidRPr="004A15AA" w:rsidRDefault="004A15AA" w:rsidP="005B157C">
      <w:pPr>
        <w:rPr>
          <w:b/>
        </w:rPr>
      </w:pPr>
      <w:r w:rsidRPr="004A15AA">
        <w:rPr>
          <w:b/>
        </w:rPr>
        <w:t xml:space="preserve">b. Frekvens for opdatering </w:t>
      </w:r>
    </w:p>
    <w:p w14:paraId="3DD3448B" w14:textId="77777777" w:rsidR="004A15AA" w:rsidRDefault="004A15AA" w:rsidP="005B157C"/>
    <w:p w14:paraId="6CF94D5A" w14:textId="77777777" w:rsidR="008212AC" w:rsidRDefault="004A15AA" w:rsidP="005B157C">
      <w:pPr>
        <w:rPr>
          <w:b/>
        </w:rPr>
      </w:pPr>
      <w:r>
        <w:t>Vægtgrundlaget opdateres månedligt i forbindelse med udsendelsen af reviderede udenrigshandelstal.</w:t>
      </w:r>
    </w:p>
    <w:p w14:paraId="454F5E3F" w14:textId="77777777" w:rsidR="004A15AA" w:rsidRDefault="004A15AA" w:rsidP="005B157C">
      <w:pPr>
        <w:rPr>
          <w:b/>
        </w:rPr>
      </w:pPr>
    </w:p>
    <w:p w14:paraId="10DF7586" w14:textId="77777777" w:rsidR="00422E7F" w:rsidRDefault="00422E7F" w:rsidP="005B157C"/>
    <w:p w14:paraId="67AC58F7" w14:textId="368DC1C3" w:rsidR="00422E7F" w:rsidRPr="00422E7F" w:rsidRDefault="00422E7F" w:rsidP="005B157C">
      <w:pPr>
        <w:rPr>
          <w:b/>
        </w:rPr>
      </w:pPr>
      <w:r w:rsidRPr="00422E7F">
        <w:rPr>
          <w:b/>
        </w:rPr>
        <w:t xml:space="preserve">3.2 Dataindsamling </w:t>
      </w:r>
    </w:p>
    <w:p w14:paraId="59DDD9EA" w14:textId="77777777" w:rsidR="00422E7F" w:rsidRPr="00422E7F" w:rsidRDefault="00422E7F" w:rsidP="005B157C">
      <w:pPr>
        <w:rPr>
          <w:b/>
        </w:rPr>
      </w:pPr>
    </w:p>
    <w:p w14:paraId="2EFDCC36" w14:textId="77777777" w:rsidR="00422E7F" w:rsidRPr="00422E7F" w:rsidRDefault="00422E7F" w:rsidP="005B157C">
      <w:pPr>
        <w:rPr>
          <w:b/>
        </w:rPr>
      </w:pPr>
      <w:r w:rsidRPr="00422E7F">
        <w:rPr>
          <w:b/>
        </w:rPr>
        <w:t xml:space="preserve">a. Pris/mængde begreber </w:t>
      </w:r>
    </w:p>
    <w:p w14:paraId="5990042A" w14:textId="77777777" w:rsidR="00422E7F" w:rsidRDefault="00422E7F" w:rsidP="005B157C"/>
    <w:p w14:paraId="04FCA337" w14:textId="77777777" w:rsidR="00D8408B" w:rsidRDefault="00422E7F" w:rsidP="005B157C">
      <w:r>
        <w:t xml:space="preserve">De enhedsværdier, der indgår i beregningen af enhedsværdiindekset, er beregnet på grundlag af de værdier og mængder der indberettes til udenrigshandelsstatistikken. </w:t>
      </w:r>
    </w:p>
    <w:p w14:paraId="6B0E344B" w14:textId="77777777" w:rsidR="00D8408B" w:rsidRDefault="00D8408B" w:rsidP="005B157C"/>
    <w:p w14:paraId="1AF90DBF" w14:textId="77777777" w:rsidR="00D8408B" w:rsidRDefault="00422E7F" w:rsidP="005B157C">
      <w:r>
        <w:t xml:space="preserve">Enhedsværdien er dermed ikke et udtryk for prisen på en specifik vare, men et mængdevejet gennemsnit af de beregnede enhedsværdier for de importerede og eksporterede varer. </w:t>
      </w:r>
    </w:p>
    <w:p w14:paraId="5F910C76" w14:textId="77777777" w:rsidR="00D8408B" w:rsidRDefault="00D8408B" w:rsidP="005B157C"/>
    <w:p w14:paraId="5A97EDEC" w14:textId="6E20DA81" w:rsidR="00D8408B" w:rsidRDefault="00422E7F" w:rsidP="005B157C">
      <w:r>
        <w:t>Værdien, der indgår i beregningen af enhedsværdien, opgøres ved import eksklusive eventuelle punktafgifter, der betales her i landet, men inklusive omkostninger til transport og forsikring frem til den danske grænse. Værdien benævnes CIF (</w:t>
      </w:r>
      <w:proofErr w:type="spellStart"/>
      <w:r>
        <w:t>Cost</w:t>
      </w:r>
      <w:proofErr w:type="spellEnd"/>
      <w:r>
        <w:t xml:space="preserve"> Insurance </w:t>
      </w:r>
      <w:proofErr w:type="spellStart"/>
      <w:r>
        <w:t>Freight</w:t>
      </w:r>
      <w:proofErr w:type="spellEnd"/>
      <w:r>
        <w:t xml:space="preserve">). For varer i </w:t>
      </w:r>
      <w:r>
        <w:lastRenderedPageBreak/>
        <w:t>eksporten angives generelt værdien ved den danske grænse uden omkostninger til transport og forsikring. Værdien benævnes FOB (</w:t>
      </w:r>
      <w:proofErr w:type="spellStart"/>
      <w:r>
        <w:t>Free</w:t>
      </w:r>
      <w:proofErr w:type="spellEnd"/>
      <w:r>
        <w:t xml:space="preserve"> On Board). </w:t>
      </w:r>
    </w:p>
    <w:p w14:paraId="118F5586" w14:textId="77777777" w:rsidR="00D8408B" w:rsidRDefault="00D8408B" w:rsidP="005B157C"/>
    <w:p w14:paraId="42D0A08A" w14:textId="77777777" w:rsidR="00E24AF1" w:rsidRDefault="00422E7F" w:rsidP="005B157C">
      <w:pPr>
        <w:rPr>
          <w:b/>
        </w:rPr>
      </w:pPr>
      <w:r>
        <w:t>Mængden, der indgår i beregningen af enhedsværdien, opgøres for både de importerede og eksporterede varer på en hovedenhed og eventuelt på en supplerende enhed (fx stk.). Hovedenheden er i langt de fleste tilfælde nettovægt angivet i kg.</w:t>
      </w:r>
    </w:p>
    <w:p w14:paraId="58ABA413" w14:textId="77777777" w:rsidR="00D8408B" w:rsidRDefault="00D8408B" w:rsidP="005B157C">
      <w:pPr>
        <w:rPr>
          <w:b/>
        </w:rPr>
      </w:pPr>
    </w:p>
    <w:p w14:paraId="4BC253DA" w14:textId="77777777" w:rsidR="006C218F" w:rsidRPr="006C218F" w:rsidRDefault="006C218F" w:rsidP="005B157C">
      <w:pPr>
        <w:rPr>
          <w:b/>
        </w:rPr>
      </w:pPr>
      <w:r w:rsidRPr="006C218F">
        <w:rPr>
          <w:b/>
        </w:rPr>
        <w:t xml:space="preserve">b. Datakilder </w:t>
      </w:r>
    </w:p>
    <w:p w14:paraId="7917C20F" w14:textId="77777777" w:rsidR="006C218F" w:rsidRDefault="006C218F" w:rsidP="005B157C"/>
    <w:p w14:paraId="1F7CC0EC" w14:textId="77777777" w:rsidR="006C218F" w:rsidRDefault="006C218F" w:rsidP="005B157C">
      <w:r>
        <w:t xml:space="preserve">Indeks beregnes på grundlag af den danske udenrigshandelsstatistik, der indsamles gennem henholdsvis Intrastat og Extrastat. </w:t>
      </w:r>
    </w:p>
    <w:p w14:paraId="1001E0CC" w14:textId="77777777" w:rsidR="006C218F" w:rsidRDefault="006C218F" w:rsidP="005B157C"/>
    <w:p w14:paraId="3319BB64" w14:textId="77777777" w:rsidR="006C218F" w:rsidRDefault="006C218F" w:rsidP="005B157C">
      <w:r>
        <w:t xml:space="preserve">Med indførelsen af EU's indre marked i 1993 forsvandt tolddokumentet, som hidtil havde udgjort grundlaget i udarbejdelsen af udenrigshandelsstatistikken. Herefter er indført det statistiske system Intrastat, som siden 1993 har været anvendt til opgørelsen af udenrigshandlen mellem EU-landene. </w:t>
      </w:r>
    </w:p>
    <w:p w14:paraId="7D36B787" w14:textId="77777777" w:rsidR="006C218F" w:rsidRDefault="006C218F" w:rsidP="005B157C"/>
    <w:p w14:paraId="372BABD5" w14:textId="7D6B88DC" w:rsidR="00D8408B" w:rsidRDefault="006C218F" w:rsidP="005B157C">
      <w:pPr>
        <w:rPr>
          <w:b/>
        </w:rPr>
      </w:pPr>
      <w:r>
        <w:t>Extrastat omfatter indsamlingen af oplysninger om handel med ikke</w:t>
      </w:r>
      <w:r w:rsidR="00092719">
        <w:t>-</w:t>
      </w:r>
      <w:r>
        <w:t>EU-lande, og foregår principielt på samme måde for importen og eksporten. De statistiske oplysninger er en integreret del af de oplysninger, som virksomhederne meddeler Told</w:t>
      </w:r>
      <w:r w:rsidR="005B10B1">
        <w:t>styrelsen</w:t>
      </w:r>
      <w:r>
        <w:t xml:space="preserve"> i forbindelse med toldbehandling af de importerede og eksporterede varer.</w:t>
      </w:r>
    </w:p>
    <w:p w14:paraId="216BD289" w14:textId="77777777" w:rsidR="00D8408B" w:rsidRDefault="00D8408B" w:rsidP="005B157C">
      <w:pPr>
        <w:rPr>
          <w:b/>
        </w:rPr>
      </w:pPr>
    </w:p>
    <w:p w14:paraId="4078A889" w14:textId="77777777" w:rsidR="00092719" w:rsidRDefault="00092719" w:rsidP="005B157C">
      <w:pPr>
        <w:rPr>
          <w:b/>
        </w:rPr>
      </w:pPr>
    </w:p>
    <w:p w14:paraId="6FE676A5" w14:textId="77777777" w:rsidR="00C75228" w:rsidRPr="00C75228" w:rsidRDefault="00C75228" w:rsidP="005B157C">
      <w:pPr>
        <w:rPr>
          <w:b/>
        </w:rPr>
      </w:pPr>
      <w:r w:rsidRPr="00C75228">
        <w:rPr>
          <w:b/>
        </w:rPr>
        <w:t xml:space="preserve">c. Stikprøve </w:t>
      </w:r>
    </w:p>
    <w:p w14:paraId="776280D7" w14:textId="77777777" w:rsidR="00C75228" w:rsidRDefault="00C75228" w:rsidP="005B157C"/>
    <w:p w14:paraId="18F59D56" w14:textId="77777777" w:rsidR="00C75228" w:rsidRDefault="00C75228" w:rsidP="005B157C">
      <w:r>
        <w:t xml:space="preserve">Danmarks udenrigshandelsstatistik udgør det fulde grundlag for indeksberegningerne. Samlet omfatter statistikken indberetninger fra ca. 30.000 virksomheder. </w:t>
      </w:r>
    </w:p>
    <w:p w14:paraId="21A1AF01" w14:textId="77777777" w:rsidR="00C75228" w:rsidRDefault="00C75228" w:rsidP="005B157C"/>
    <w:p w14:paraId="52C38D22" w14:textId="77777777" w:rsidR="00092719" w:rsidRDefault="00C75228" w:rsidP="005B157C">
      <w:r>
        <w:t>Under Intrastat er der indført en statistisk grænse, der fritager virksomheder med en mindre EU-handel fra at indberette. Denne grænse fritager ca. 30.000 virksomheder fra at indberette til Intrastat. En tilsvarende statistisk grænse findes ikke under Extrastat.</w:t>
      </w:r>
    </w:p>
    <w:p w14:paraId="29D54344" w14:textId="77777777" w:rsidR="00A83512" w:rsidRDefault="00A83512" w:rsidP="005B157C"/>
    <w:p w14:paraId="758240DF" w14:textId="77777777" w:rsidR="00A83512" w:rsidRDefault="00A83512" w:rsidP="005B157C"/>
    <w:p w14:paraId="20FF9B8E" w14:textId="68C23862" w:rsidR="00150927" w:rsidRPr="00A83512" w:rsidRDefault="00150927" w:rsidP="005B157C">
      <w:pPr>
        <w:rPr>
          <w:b/>
        </w:rPr>
      </w:pPr>
      <w:r w:rsidRPr="00A83512">
        <w:rPr>
          <w:b/>
        </w:rPr>
        <w:t xml:space="preserve">3.3 Beregning </w:t>
      </w:r>
    </w:p>
    <w:p w14:paraId="08FF69D6" w14:textId="77777777" w:rsidR="00150927" w:rsidRPr="00A83512" w:rsidRDefault="00150927" w:rsidP="005B157C">
      <w:pPr>
        <w:rPr>
          <w:b/>
        </w:rPr>
      </w:pPr>
    </w:p>
    <w:p w14:paraId="498BE2A6" w14:textId="77777777" w:rsidR="00150927" w:rsidRPr="00A83512" w:rsidRDefault="00150927" w:rsidP="005B157C">
      <w:pPr>
        <w:rPr>
          <w:b/>
        </w:rPr>
      </w:pPr>
      <w:r w:rsidRPr="00A83512">
        <w:rPr>
          <w:b/>
        </w:rPr>
        <w:t xml:space="preserve">a. indeks </w:t>
      </w:r>
    </w:p>
    <w:p w14:paraId="1682E515" w14:textId="77777777" w:rsidR="00150927" w:rsidRDefault="00150927" w:rsidP="005B157C"/>
    <w:p w14:paraId="369B03E3" w14:textId="77777777" w:rsidR="00E55A7D" w:rsidRDefault="00E55A7D" w:rsidP="005B157C">
      <w:r>
        <w:t>Der bruges Fisher-indeks</w:t>
      </w:r>
      <w:r w:rsidR="00F71ACF">
        <w:t xml:space="preserve"> (</w:t>
      </w:r>
      <m:oMath>
        <m:sSub>
          <m:sSubPr>
            <m:ctrlPr>
              <w:rPr>
                <w:rFonts w:ascii="Cambria Math" w:hAnsi="Cambria Math"/>
                <w:i/>
              </w:rPr>
            </m:ctrlPr>
          </m:sSubPr>
          <m:e>
            <m:r>
              <w:rPr>
                <w:rFonts w:ascii="Cambria Math" w:hAnsi="Cambria Math"/>
              </w:rPr>
              <m:t>F</m:t>
            </m:r>
          </m:e>
          <m:sub>
            <m:r>
              <w:rPr>
                <w:rFonts w:ascii="Cambria Math" w:hAnsi="Cambria Math"/>
              </w:rPr>
              <m:t>t</m:t>
            </m:r>
          </m:sub>
        </m:sSub>
      </m:oMath>
      <w:r w:rsidR="00F71ACF">
        <w:t>)</w:t>
      </w:r>
      <w:r>
        <w:t xml:space="preserve">, som er et geometrisk gennemsnit af </w:t>
      </w:r>
      <w:proofErr w:type="spellStart"/>
      <w:r>
        <w:t>Paasche</w:t>
      </w:r>
      <w:proofErr w:type="spellEnd"/>
      <w:r w:rsidR="00F71ACF">
        <w:t xml:space="preserve"> (</w:t>
      </w:r>
      <m:oMath>
        <m:sSub>
          <m:sSubPr>
            <m:ctrlPr>
              <w:rPr>
                <w:rFonts w:ascii="Cambria Math" w:hAnsi="Cambria Math"/>
                <w:i/>
              </w:rPr>
            </m:ctrlPr>
          </m:sSubPr>
          <m:e>
            <m:r>
              <w:rPr>
                <w:rFonts w:ascii="Cambria Math" w:hAnsi="Cambria Math"/>
              </w:rPr>
              <m:t>P</m:t>
            </m:r>
          </m:e>
          <m:sub>
            <m:r>
              <w:rPr>
                <w:rFonts w:ascii="Cambria Math" w:hAnsi="Cambria Math"/>
              </w:rPr>
              <m:t>t</m:t>
            </m:r>
          </m:sub>
        </m:sSub>
      </m:oMath>
      <w:r w:rsidR="00F71ACF">
        <w:t>)</w:t>
      </w:r>
      <w:r>
        <w:t xml:space="preserve"> og Laspeyres indeks</w:t>
      </w:r>
      <w:r w:rsidR="00F71ACF">
        <w:t xml:space="preserve"> (</w:t>
      </w:r>
      <m:oMath>
        <m:sSub>
          <m:sSubPr>
            <m:ctrlPr>
              <w:rPr>
                <w:rFonts w:ascii="Cambria Math" w:hAnsi="Cambria Math"/>
                <w:i/>
              </w:rPr>
            </m:ctrlPr>
          </m:sSubPr>
          <m:e>
            <m:r>
              <w:rPr>
                <w:rFonts w:ascii="Cambria Math" w:hAnsi="Cambria Math"/>
              </w:rPr>
              <m:t>L</m:t>
            </m:r>
          </m:e>
          <m:sub>
            <m:r>
              <w:rPr>
                <w:rFonts w:ascii="Cambria Math" w:hAnsi="Cambria Math"/>
              </w:rPr>
              <m:t>t</m:t>
            </m:r>
          </m:sub>
        </m:sSub>
      </m:oMath>
      <w:r w:rsidR="00F71ACF">
        <w:t>)</w:t>
      </w:r>
      <w:r w:rsidR="001338DC">
        <w:t>. De tre forml</w:t>
      </w:r>
      <w:r w:rsidR="00E458C0">
        <w:t>er ser således ud:</w:t>
      </w:r>
    </w:p>
    <w:p w14:paraId="73F0EA36" w14:textId="77777777" w:rsidR="00E55A7D" w:rsidRDefault="00E55A7D" w:rsidP="005B157C"/>
    <w:p w14:paraId="7C561625" w14:textId="77777777" w:rsidR="00AC37B3" w:rsidRDefault="00AC37B3" w:rsidP="00AC37B3">
      <w:pPr>
        <w:pStyle w:val="Ledetekst"/>
        <w:framePr w:wrap="notBeside"/>
      </w:pPr>
      <w:r>
        <w:t>(1)</w:t>
      </w:r>
    </w:p>
    <w:p w14:paraId="0D9C8573" w14:textId="77777777" w:rsidR="00E55A7D" w:rsidRPr="00E458C0" w:rsidRDefault="001D4891" w:rsidP="005B157C">
      <w:pPr>
        <w:rPr>
          <w:rFonts w:ascii="Times New Roman" w:hAnsi="Times New Roman"/>
        </w:rPr>
      </w:pPr>
      <m:oMathPara>
        <m:oMath>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d>
            <m:dPr>
              <m:ctrlPr>
                <w:rPr>
                  <w:rFonts w:ascii="Cambria Math" w:hAnsi="Cambria Math"/>
                  <w:i/>
                </w:rPr>
              </m:ctrlPr>
            </m:dPr>
            <m:e>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p</m:t>
                          </m:r>
                        </m:e>
                        <m:sub>
                          <m:r>
                            <w:rPr>
                              <w:rFonts w:ascii="Cambria Math" w:hAnsi="Cambria Math"/>
                            </w:rPr>
                            <m:t>k,t</m:t>
                          </m:r>
                        </m:sub>
                      </m:sSub>
                    </m:e>
                  </m:nary>
                  <m:sSub>
                    <m:sSubPr>
                      <m:ctrlPr>
                        <w:rPr>
                          <w:rFonts w:ascii="Cambria Math" w:hAnsi="Cambria Math"/>
                          <w:i/>
                        </w:rPr>
                      </m:ctrlPr>
                    </m:sSubPr>
                    <m:e>
                      <m:r>
                        <w:rPr>
                          <w:rFonts w:ascii="Cambria Math" w:hAnsi="Cambria Math"/>
                        </w:rPr>
                        <m:t>q</m:t>
                      </m:r>
                    </m:e>
                    <m:sub>
                      <m:r>
                        <w:rPr>
                          <w:rFonts w:ascii="Cambria Math" w:hAnsi="Cambria Math"/>
                        </w:rPr>
                        <m:t>k,t</m:t>
                      </m:r>
                    </m:sub>
                  </m:sSub>
                </m:num>
                <m:den>
                  <m:nary>
                    <m:naryPr>
                      <m:chr m:val="∑"/>
                      <m:limLoc m:val="subSup"/>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p</m:t>
                          </m:r>
                        </m:e>
                        <m:sub>
                          <m:r>
                            <w:rPr>
                              <w:rFonts w:ascii="Cambria Math" w:hAnsi="Cambria Math"/>
                            </w:rPr>
                            <m:t>k,t-1</m:t>
                          </m:r>
                        </m:sub>
                      </m:sSub>
                    </m:e>
                  </m:nary>
                  <m:sSub>
                    <m:sSubPr>
                      <m:ctrlPr>
                        <w:rPr>
                          <w:rFonts w:ascii="Cambria Math" w:hAnsi="Cambria Math"/>
                          <w:i/>
                        </w:rPr>
                      </m:ctrlPr>
                    </m:sSubPr>
                    <m:e>
                      <m:r>
                        <w:rPr>
                          <w:rFonts w:ascii="Cambria Math" w:hAnsi="Cambria Math"/>
                        </w:rPr>
                        <m:t>q</m:t>
                      </m:r>
                    </m:e>
                    <m:sub>
                      <m:r>
                        <w:rPr>
                          <w:rFonts w:ascii="Cambria Math" w:hAnsi="Cambria Math"/>
                        </w:rPr>
                        <m:t>k,t</m:t>
                      </m:r>
                    </m:sub>
                  </m:sSub>
                </m:den>
              </m:f>
            </m:e>
          </m:d>
          <m:sSub>
            <m:sSubPr>
              <m:ctrlPr>
                <w:rPr>
                  <w:rFonts w:ascii="Cambria Math" w:hAnsi="Cambria Math"/>
                  <w:i/>
                </w:rPr>
              </m:ctrlPr>
            </m:sSubPr>
            <m:e>
              <m:r>
                <w:rPr>
                  <w:rFonts w:ascii="Cambria Math" w:hAnsi="Cambria Math"/>
                </w:rPr>
                <m:t>P</m:t>
              </m:r>
            </m:e>
            <m:sub>
              <m:r>
                <w:rPr>
                  <w:rFonts w:ascii="Cambria Math" w:hAnsi="Cambria Math"/>
                </w:rPr>
                <m:t>t-1</m:t>
              </m:r>
            </m:sub>
          </m:sSub>
        </m:oMath>
      </m:oMathPara>
    </w:p>
    <w:p w14:paraId="48B857EE" w14:textId="77777777" w:rsidR="00F71ACF" w:rsidRDefault="00F71ACF" w:rsidP="005B157C"/>
    <w:p w14:paraId="6312266B" w14:textId="77777777" w:rsidR="00AC37B3" w:rsidRDefault="00AC37B3" w:rsidP="00AC37B3">
      <w:pPr>
        <w:pStyle w:val="Ledetekst"/>
        <w:framePr w:wrap="notBeside"/>
      </w:pPr>
      <w:r>
        <w:t>(2)</w:t>
      </w:r>
    </w:p>
    <w:p w14:paraId="4A58B25C" w14:textId="77777777" w:rsidR="00F71ACF" w:rsidRPr="005A0415" w:rsidRDefault="001D4891" w:rsidP="00F71ACF">
      <w:pPr>
        <w:rPr>
          <w:rFonts w:ascii="Times New Roman" w:hAnsi="Times New Roman"/>
        </w:rPr>
      </w:pPr>
      <m:oMathPara>
        <m:oMath>
          <m:sSub>
            <m:sSubPr>
              <m:ctrlPr>
                <w:rPr>
                  <w:rFonts w:ascii="Cambria Math" w:hAnsi="Cambria Math"/>
                  <w:i/>
                </w:rPr>
              </m:ctrlPr>
            </m:sSubPr>
            <m:e>
              <m:r>
                <w:rPr>
                  <w:rFonts w:ascii="Cambria Math" w:hAnsi="Cambria Math"/>
                </w:rPr>
                <m:t>L</m:t>
              </m:r>
            </m:e>
            <m:sub>
              <m:r>
                <w:rPr>
                  <w:rFonts w:ascii="Cambria Math" w:hAnsi="Cambria Math"/>
                </w:rPr>
                <m:t>t</m:t>
              </m:r>
            </m:sub>
          </m:sSub>
          <m:r>
            <w:rPr>
              <w:rFonts w:ascii="Cambria Math" w:hAnsi="Cambria Math"/>
            </w:rPr>
            <m:t>=</m:t>
          </m:r>
          <m:d>
            <m:dPr>
              <m:ctrlPr>
                <w:rPr>
                  <w:rFonts w:ascii="Cambria Math" w:hAnsi="Cambria Math"/>
                  <w:i/>
                </w:rPr>
              </m:ctrlPr>
            </m:dPr>
            <m:e>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p</m:t>
                          </m:r>
                        </m:e>
                        <m:sub>
                          <m:r>
                            <w:rPr>
                              <w:rFonts w:ascii="Cambria Math" w:hAnsi="Cambria Math"/>
                            </w:rPr>
                            <m:t>k,t</m:t>
                          </m:r>
                        </m:sub>
                      </m:sSub>
                    </m:e>
                  </m:nary>
                  <m:sSub>
                    <m:sSubPr>
                      <m:ctrlPr>
                        <w:rPr>
                          <w:rFonts w:ascii="Cambria Math" w:hAnsi="Cambria Math"/>
                          <w:i/>
                        </w:rPr>
                      </m:ctrlPr>
                    </m:sSubPr>
                    <m:e>
                      <m:r>
                        <w:rPr>
                          <w:rFonts w:ascii="Cambria Math" w:hAnsi="Cambria Math"/>
                        </w:rPr>
                        <m:t>q</m:t>
                      </m:r>
                    </m:e>
                    <m:sub>
                      <m:r>
                        <w:rPr>
                          <w:rFonts w:ascii="Cambria Math" w:hAnsi="Cambria Math"/>
                        </w:rPr>
                        <m:t>k,t-1</m:t>
                      </m:r>
                    </m:sub>
                  </m:sSub>
                </m:num>
                <m:den>
                  <m:nary>
                    <m:naryPr>
                      <m:chr m:val="∑"/>
                      <m:limLoc m:val="subSup"/>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p</m:t>
                          </m:r>
                        </m:e>
                        <m:sub>
                          <m:r>
                            <w:rPr>
                              <w:rFonts w:ascii="Cambria Math" w:hAnsi="Cambria Math"/>
                            </w:rPr>
                            <m:t>k,t-1</m:t>
                          </m:r>
                        </m:sub>
                      </m:sSub>
                    </m:e>
                  </m:nary>
                  <m:sSub>
                    <m:sSubPr>
                      <m:ctrlPr>
                        <w:rPr>
                          <w:rFonts w:ascii="Cambria Math" w:hAnsi="Cambria Math"/>
                          <w:i/>
                        </w:rPr>
                      </m:ctrlPr>
                    </m:sSubPr>
                    <m:e>
                      <m:r>
                        <w:rPr>
                          <w:rFonts w:ascii="Cambria Math" w:hAnsi="Cambria Math"/>
                        </w:rPr>
                        <m:t>q</m:t>
                      </m:r>
                    </m:e>
                    <m:sub>
                      <m:r>
                        <w:rPr>
                          <w:rFonts w:ascii="Cambria Math" w:hAnsi="Cambria Math"/>
                        </w:rPr>
                        <m:t>k,t-1</m:t>
                      </m:r>
                    </m:sub>
                  </m:sSub>
                </m:den>
              </m:f>
            </m:e>
          </m:d>
          <m:sSub>
            <m:sSubPr>
              <m:ctrlPr>
                <w:rPr>
                  <w:rFonts w:ascii="Cambria Math" w:hAnsi="Cambria Math"/>
                  <w:i/>
                </w:rPr>
              </m:ctrlPr>
            </m:sSubPr>
            <m:e>
              <m:r>
                <w:rPr>
                  <w:rFonts w:ascii="Cambria Math" w:hAnsi="Cambria Math"/>
                </w:rPr>
                <m:t>L</m:t>
              </m:r>
            </m:e>
            <m:sub>
              <m:r>
                <w:rPr>
                  <w:rFonts w:ascii="Cambria Math" w:hAnsi="Cambria Math"/>
                </w:rPr>
                <m:t>t-1</m:t>
              </m:r>
            </m:sub>
          </m:sSub>
        </m:oMath>
      </m:oMathPara>
    </w:p>
    <w:p w14:paraId="47BF44F2" w14:textId="77777777" w:rsidR="00F71ACF" w:rsidRDefault="00F71ACF" w:rsidP="005B157C"/>
    <w:p w14:paraId="0FC4C35F" w14:textId="77777777" w:rsidR="00AC37B3" w:rsidRDefault="00AC37B3" w:rsidP="00AC37B3">
      <w:pPr>
        <w:pStyle w:val="Ledetekst"/>
        <w:framePr w:wrap="notBeside"/>
      </w:pPr>
      <w:r>
        <w:t>(3)</w:t>
      </w:r>
    </w:p>
    <w:p w14:paraId="0A87C39F" w14:textId="77777777" w:rsidR="00F71ACF" w:rsidRPr="005A0415" w:rsidRDefault="001D4891" w:rsidP="00F71ACF">
      <w:pPr>
        <w:rPr>
          <w:rFonts w:ascii="Times New Roman" w:hAnsi="Times New Roman"/>
        </w:rPr>
      </w:pPr>
      <m:oMathPara>
        <m:oMath>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∙L</m:t>
                      </m:r>
                    </m:e>
                    <m:sub>
                      <m:r>
                        <w:rPr>
                          <w:rFonts w:ascii="Cambria Math" w:hAnsi="Cambria Math"/>
                        </w:rPr>
                        <m:t>t</m:t>
                      </m:r>
                    </m:sub>
                  </m:sSub>
                </m:e>
              </m:d>
            </m:e>
            <m:sup>
              <m:r>
                <w:rPr>
                  <w:rFonts w:ascii="Cambria Math" w:hAnsi="Cambria Math"/>
                </w:rPr>
                <m:t>1/2</m:t>
              </m:r>
            </m:sup>
          </m:sSup>
        </m:oMath>
      </m:oMathPara>
    </w:p>
    <w:p w14:paraId="15684F68" w14:textId="77777777" w:rsidR="002E5F6E" w:rsidRDefault="002E5F6E" w:rsidP="005B157C"/>
    <w:p w14:paraId="5DBAF570" w14:textId="77777777" w:rsidR="002E5F6E" w:rsidRDefault="00C31B93" w:rsidP="005B157C">
      <w:r>
        <w:t xml:space="preserve">Hvor, </w:t>
      </w:r>
      <w:r w:rsidR="00150927">
        <w:t xml:space="preserve">p udtrykker enhedsværdien, mens q udtrykker den tilhørende mængde. Mængden er i langt de fleste tilfælde opgjort i kilo. </w:t>
      </w:r>
    </w:p>
    <w:p w14:paraId="6866AD6A" w14:textId="77777777" w:rsidR="002E5F6E" w:rsidRDefault="002E5F6E" w:rsidP="005B157C"/>
    <w:p w14:paraId="4617B2A5" w14:textId="6EC99517" w:rsidR="002F0280" w:rsidRDefault="00C31B93" w:rsidP="005B157C">
      <w:r>
        <w:t xml:space="preserve">Indekserne </w:t>
      </w:r>
      <w:r w:rsidR="006A2D34">
        <w:t xml:space="preserve">er </w:t>
      </w:r>
      <w:r>
        <w:t xml:space="preserve">offentliggjort på </w:t>
      </w:r>
      <w:r w:rsidR="00F52464">
        <w:t>etcifret</w:t>
      </w:r>
      <w:r>
        <w:t xml:space="preserve"> SITC niveau</w:t>
      </w:r>
      <w:r w:rsidR="00F52464">
        <w:t xml:space="preserve">, og </w:t>
      </w:r>
      <w:proofErr w:type="spellStart"/>
      <w:r w:rsidR="00F52464">
        <w:t>bottom</w:t>
      </w:r>
      <w:proofErr w:type="spellEnd"/>
      <w:r w:rsidR="00F52464">
        <w:t xml:space="preserve">-up aggregering er brugt til at nå </w:t>
      </w:r>
      <w:r w:rsidR="001338DC">
        <w:t xml:space="preserve">frem til </w:t>
      </w:r>
      <w:r w:rsidR="009E78AE">
        <w:t xml:space="preserve">det </w:t>
      </w:r>
      <w:r w:rsidR="00F52464">
        <w:t>etcifre</w:t>
      </w:r>
      <w:r w:rsidR="009E78AE">
        <w:t>de</w:t>
      </w:r>
      <w:r w:rsidR="00F52464">
        <w:t xml:space="preserve"> niveau. I første omgang</w:t>
      </w:r>
      <w:r w:rsidR="009F1B67">
        <w:t xml:space="preserve"> aggreg</w:t>
      </w:r>
      <w:r w:rsidR="00F52464">
        <w:t>er</w:t>
      </w:r>
      <w:r w:rsidR="009F1B67">
        <w:t>e</w:t>
      </w:r>
      <w:r w:rsidR="00F52464">
        <w:t>s</w:t>
      </w:r>
      <w:r w:rsidR="009E78AE">
        <w:t xml:space="preserve"> </w:t>
      </w:r>
      <w:r w:rsidR="00F52464">
        <w:t>enhedsværdier</w:t>
      </w:r>
      <w:r w:rsidR="009E78AE">
        <w:t xml:space="preserve"> på landeniveau</w:t>
      </w:r>
      <w:r w:rsidR="00F52464">
        <w:t xml:space="preserve"> til </w:t>
      </w:r>
      <w:r w:rsidR="009E78AE">
        <w:t xml:space="preserve">indeks på </w:t>
      </w:r>
      <w:r w:rsidR="00F52464">
        <w:t>virksomhedsniveau</w:t>
      </w:r>
      <w:r w:rsidR="002F0280">
        <w:t>, dvs. subscriptet ’</w:t>
      </w:r>
      <w:r w:rsidR="002F0280" w:rsidRPr="002F0280">
        <w:rPr>
          <w:i/>
        </w:rPr>
        <w:t>k</w:t>
      </w:r>
      <w:r w:rsidR="002F0280">
        <w:t xml:space="preserve">’ i (1) og (2) angiver lande. I næste runde aggregeres </w:t>
      </w:r>
      <w:r w:rsidR="009E78AE">
        <w:t xml:space="preserve">indekset på </w:t>
      </w:r>
      <w:r w:rsidR="002F0280">
        <w:t>virksomhedsnivea</w:t>
      </w:r>
      <w:r w:rsidR="00480269">
        <w:t xml:space="preserve">u </w:t>
      </w:r>
      <w:r w:rsidR="002F0280">
        <w:t>til 5-cifre</w:t>
      </w:r>
      <w:r w:rsidR="009E78AE">
        <w:t>de</w:t>
      </w:r>
      <w:r w:rsidR="002F0280">
        <w:t xml:space="preserve"> SITC indekser, </w:t>
      </w:r>
      <w:r w:rsidR="009E78AE">
        <w:t>hvormed</w:t>
      </w:r>
      <w:r w:rsidR="009F1B67">
        <w:t xml:space="preserve"> </w:t>
      </w:r>
      <w:r w:rsidR="002F0280">
        <w:t>subscriptet ’</w:t>
      </w:r>
      <w:r w:rsidR="002F0280" w:rsidRPr="00480269">
        <w:rPr>
          <w:i/>
        </w:rPr>
        <w:t>k</w:t>
      </w:r>
      <w:r w:rsidR="002F0280">
        <w:t>’</w:t>
      </w:r>
      <w:r w:rsidR="009E78AE">
        <w:t xml:space="preserve"> står</w:t>
      </w:r>
      <w:r w:rsidR="002F0280">
        <w:t xml:space="preserve"> for forskellige virksomhe</w:t>
      </w:r>
      <w:r w:rsidR="009F1B67">
        <w:t>der. Til sidst</w:t>
      </w:r>
      <w:r w:rsidR="002F0280">
        <w:t xml:space="preserve"> aggregeres de </w:t>
      </w:r>
      <w:r w:rsidR="00BB5287">
        <w:t>5-cifre</w:t>
      </w:r>
      <w:r w:rsidR="009E78AE">
        <w:t>de</w:t>
      </w:r>
      <w:r w:rsidR="00BB5287">
        <w:t xml:space="preserve"> indeks til </w:t>
      </w:r>
      <w:r w:rsidR="009E78AE">
        <w:t xml:space="preserve">et </w:t>
      </w:r>
      <w:r w:rsidR="00BB5287">
        <w:t>etcifret indeks.</w:t>
      </w:r>
      <w:r w:rsidR="00D25E68">
        <w:t xml:space="preserve"> Denne </w:t>
      </w:r>
      <w:proofErr w:type="spellStart"/>
      <w:r w:rsidR="00D25E68">
        <w:t>bottom</w:t>
      </w:r>
      <w:proofErr w:type="spellEnd"/>
      <w:r w:rsidR="00D25E68">
        <w:t xml:space="preserve">-up aggregeringsmetode er et centralt element i beregning af </w:t>
      </w:r>
      <w:r w:rsidR="009E78AE">
        <w:t>indeks efter den nye metode implementeret i 2020</w:t>
      </w:r>
      <w:r w:rsidR="00D25E68">
        <w:t>.</w:t>
      </w:r>
    </w:p>
    <w:p w14:paraId="162D3671" w14:textId="77777777" w:rsidR="00BB5287" w:rsidRDefault="00BB5287" w:rsidP="005B157C"/>
    <w:p w14:paraId="5F8E4000" w14:textId="77777777" w:rsidR="0066054F" w:rsidRDefault="0066054F" w:rsidP="005B157C"/>
    <w:p w14:paraId="6F3A2D9E" w14:textId="77777777" w:rsidR="0066054F" w:rsidRPr="0066054F" w:rsidRDefault="0066054F" w:rsidP="005B157C">
      <w:pPr>
        <w:rPr>
          <w:b/>
        </w:rPr>
      </w:pPr>
      <w:r w:rsidRPr="0066054F">
        <w:rPr>
          <w:b/>
        </w:rPr>
        <w:t xml:space="preserve">b. </w:t>
      </w:r>
      <w:proofErr w:type="spellStart"/>
      <w:r w:rsidRPr="0066054F">
        <w:rPr>
          <w:b/>
        </w:rPr>
        <w:t>outlier</w:t>
      </w:r>
      <w:proofErr w:type="spellEnd"/>
      <w:r w:rsidRPr="0066054F">
        <w:rPr>
          <w:b/>
        </w:rPr>
        <w:t xml:space="preserve"> </w:t>
      </w:r>
      <w:proofErr w:type="spellStart"/>
      <w:r w:rsidRPr="0066054F">
        <w:rPr>
          <w:b/>
        </w:rPr>
        <w:t>detektion</w:t>
      </w:r>
      <w:proofErr w:type="spellEnd"/>
      <w:r w:rsidRPr="0066054F">
        <w:rPr>
          <w:b/>
        </w:rPr>
        <w:t xml:space="preserve"> og rensning</w:t>
      </w:r>
    </w:p>
    <w:p w14:paraId="25F4FCA3" w14:textId="77777777" w:rsidR="0066054F" w:rsidRDefault="0066054F" w:rsidP="005B157C"/>
    <w:p w14:paraId="428CC4F8" w14:textId="46699821" w:rsidR="00413B8D" w:rsidRDefault="00D25E68" w:rsidP="005B157C">
      <w:proofErr w:type="spellStart"/>
      <w:r>
        <w:t>M</w:t>
      </w:r>
      <w:r w:rsidR="001C1B61">
        <w:t>ikrodata</w:t>
      </w:r>
      <w:proofErr w:type="spellEnd"/>
      <w:r w:rsidR="001C1B61">
        <w:t xml:space="preserve"> renses for </w:t>
      </w:r>
      <w:proofErr w:type="spellStart"/>
      <w:r w:rsidR="001C1B61">
        <w:t>outliers</w:t>
      </w:r>
      <w:proofErr w:type="spellEnd"/>
      <w:r w:rsidR="001C1B61">
        <w:t xml:space="preserve"> før </w:t>
      </w:r>
      <w:r>
        <w:t xml:space="preserve">beregning af </w:t>
      </w:r>
      <w:r w:rsidR="001C1B61">
        <w:t>indeks</w:t>
      </w:r>
      <w:r>
        <w:t>.</w:t>
      </w:r>
      <w:r w:rsidR="00413B8D">
        <w:t xml:space="preserve"> </w:t>
      </w:r>
      <w:r w:rsidR="00DE4231">
        <w:t>Først</w:t>
      </w:r>
      <w:r w:rsidR="00910D90">
        <w:t xml:space="preserve"> tjekkes for outliers</w:t>
      </w:r>
      <w:r w:rsidR="00BF792D">
        <w:t xml:space="preserve"> blandt virksomheder der indberetter flere gange i en give</w:t>
      </w:r>
      <w:r>
        <w:t>n måned. Bagefter aggregeres de</w:t>
      </w:r>
      <w:r w:rsidR="00BF792D">
        <w:t xml:space="preserve"> forskellige enhedsværdier på SITC-virksomhed-land niveau til én</w:t>
      </w:r>
      <w:r w:rsidR="002B030E">
        <w:t xml:space="preserve"> enhedsværdi</w:t>
      </w:r>
      <w:r w:rsidR="00BF792D">
        <w:t>.</w:t>
      </w:r>
      <w:r w:rsidR="00413B8D">
        <w:t xml:space="preserve"> </w:t>
      </w:r>
      <w:r w:rsidR="00DE4231">
        <w:t xml:space="preserve">Dernæst </w:t>
      </w:r>
      <w:r w:rsidR="00413B8D">
        <w:t>tjekkes for outliers over</w:t>
      </w:r>
      <w:r>
        <w:t xml:space="preserve"> </w:t>
      </w:r>
      <w:r w:rsidR="00413B8D">
        <w:t>tid. Det sker tre gange</w:t>
      </w:r>
      <w:r w:rsidR="00C11514">
        <w:t>, en gang</w:t>
      </w:r>
      <w:r w:rsidR="00413B8D">
        <w:t xml:space="preserve"> i hvert trin i </w:t>
      </w:r>
      <w:proofErr w:type="spellStart"/>
      <w:r w:rsidR="00413B8D">
        <w:t>bottom</w:t>
      </w:r>
      <w:proofErr w:type="spellEnd"/>
      <w:r w:rsidR="00413B8D">
        <w:t>-up aggregering</w:t>
      </w:r>
      <w:r w:rsidR="002B030E">
        <w:t>s</w:t>
      </w:r>
      <w:r w:rsidR="007123CA">
        <w:t xml:space="preserve"> processen</w:t>
      </w:r>
      <w:r w:rsidR="00413B8D">
        <w:t>.</w:t>
      </w:r>
      <w:r w:rsidR="00CE19EA">
        <w:t xml:space="preserve"> I </w:t>
      </w:r>
      <w:r w:rsidR="007123CA">
        <w:t xml:space="preserve">alle </w:t>
      </w:r>
      <w:r w:rsidR="00CE19EA">
        <w:t>tilfælde bruges</w:t>
      </w:r>
      <w:r w:rsidR="00C11514">
        <w:t xml:space="preserve"> ”</w:t>
      </w:r>
      <w:proofErr w:type="spellStart"/>
      <w:r w:rsidR="00C11514">
        <w:t>Tukey’s-la</w:t>
      </w:r>
      <w:r w:rsidR="00DE4231">
        <w:t>w</w:t>
      </w:r>
      <w:proofErr w:type="spellEnd"/>
      <w:r w:rsidR="00DE4231">
        <w:t xml:space="preserve">” til </w:t>
      </w:r>
      <w:r w:rsidR="00C11514">
        <w:t>at detektere outliers</w:t>
      </w:r>
      <w:r w:rsidR="007123CA">
        <w:t>. For</w:t>
      </w:r>
      <w:r w:rsidR="00DE4231">
        <w:t>m</w:t>
      </w:r>
      <w:r w:rsidR="007123CA">
        <w:t>len skrives sådan:</w:t>
      </w:r>
    </w:p>
    <w:p w14:paraId="2D6D2A13" w14:textId="77777777" w:rsidR="009960CA" w:rsidRDefault="009960CA" w:rsidP="005B157C"/>
    <w:p w14:paraId="4FF3D56C" w14:textId="77777777" w:rsidR="001C1B61" w:rsidRDefault="001C1B61" w:rsidP="005B157C"/>
    <w:p w14:paraId="584F64C1" w14:textId="77777777" w:rsidR="00AC37B3" w:rsidRDefault="00AC37B3" w:rsidP="00AC37B3">
      <w:pPr>
        <w:pStyle w:val="Ledetekst"/>
        <w:framePr w:wrap="notBeside"/>
      </w:pPr>
      <w:r>
        <w:t>(4)</w:t>
      </w:r>
    </w:p>
    <w:p w14:paraId="78D915C1" w14:textId="77777777" w:rsidR="00E401F0" w:rsidRPr="005A0415" w:rsidRDefault="00E401F0" w:rsidP="00E401F0">
      <w:pPr>
        <w:rPr>
          <w:rFonts w:ascii="Times New Roman" w:hAnsi="Times New Roman"/>
          <w:i/>
        </w:rPr>
      </w:pPr>
      <m:oMathPara>
        <m:oMath>
          <m:r>
            <w:rPr>
              <w:rFonts w:ascii="Cambria Math" w:hAnsi="Cambria Math"/>
            </w:rPr>
            <m:t>suspicion=</m:t>
          </m:r>
          <m:d>
            <m:dPr>
              <m:begChr m:val="{"/>
              <m:endChr m:val=""/>
              <m:ctrlPr>
                <w:rPr>
                  <w:rFonts w:ascii="Cambria Math" w:hAnsi="Cambria Math"/>
                  <w:i/>
                </w:rPr>
              </m:ctrlPr>
            </m:dPr>
            <m:e>
              <m:eqArr>
                <m:eqArrPr>
                  <m:ctrlPr>
                    <w:rPr>
                      <w:rFonts w:ascii="Cambria Math" w:hAnsi="Cambria Math"/>
                      <w:i/>
                    </w:rPr>
                  </m:ctrlPr>
                </m:eqArrPr>
                <m:e>
                  <m:f>
                    <m:fPr>
                      <m:ctrlPr>
                        <w:rPr>
                          <w:rFonts w:ascii="Cambria Math" w:hAnsi="Cambria Math"/>
                          <w:i/>
                        </w:rPr>
                      </m:ctrlPr>
                    </m:fPr>
                    <m:num>
                      <m:sSub>
                        <m:sSubPr>
                          <m:ctrlPr>
                            <w:rPr>
                              <w:rFonts w:ascii="Cambria Math" w:hAnsi="Cambria Math"/>
                              <w:i/>
                            </w:rPr>
                          </m:ctrlPr>
                        </m:sSubPr>
                        <m:e>
                          <m:r>
                            <w:rPr>
                              <w:rFonts w:ascii="Cambria Math" w:hAnsi="Cambria Math"/>
                            </w:rPr>
                            <m:t>q1</m:t>
                          </m:r>
                        </m:e>
                        <m:sub>
                          <m:r>
                            <w:rPr>
                              <w:rFonts w:ascii="Cambria Math" w:hAnsi="Cambria Math"/>
                            </w:rPr>
                            <m:t>t</m:t>
                          </m:r>
                        </m:sub>
                      </m:sSub>
                      <m:r>
                        <w:rPr>
                          <w:rFonts w:ascii="Cambria Math" w:hAnsi="Cambria Math"/>
                        </w:rPr>
                        <m:t>-</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t</m:t>
                                      </m:r>
                                    </m:sub>
                                  </m:sSub>
                                </m:num>
                                <m:den>
                                  <m:sSub>
                                    <m:sSubPr>
                                      <m:ctrlPr>
                                        <w:rPr>
                                          <w:rFonts w:ascii="Cambria Math" w:hAnsi="Cambria Math"/>
                                          <w:i/>
                                        </w:rPr>
                                      </m:ctrlPr>
                                    </m:sSubPr>
                                    <m:e>
                                      <m:r>
                                        <w:rPr>
                                          <w:rFonts w:ascii="Cambria Math" w:hAnsi="Cambria Math"/>
                                        </w:rPr>
                                        <m:t>p</m:t>
                                      </m:r>
                                    </m:e>
                                    <m:sub>
                                      <m:r>
                                        <w:rPr>
                                          <w:rFonts w:ascii="Cambria Math" w:hAnsi="Cambria Math"/>
                                        </w:rPr>
                                        <m:t>t-1</m:t>
                                      </m:r>
                                    </m:sub>
                                  </m:sSub>
                                </m:den>
                              </m:f>
                            </m:e>
                          </m:d>
                        </m:e>
                      </m:func>
                    </m:num>
                    <m:den>
                      <m:sSub>
                        <m:sSubPr>
                          <m:ctrlPr>
                            <w:rPr>
                              <w:rFonts w:ascii="Cambria Math" w:hAnsi="Cambria Math"/>
                              <w:i/>
                            </w:rPr>
                          </m:ctrlPr>
                        </m:sSubPr>
                        <m:e>
                          <m:r>
                            <w:rPr>
                              <w:rFonts w:ascii="Cambria Math" w:hAnsi="Cambria Math"/>
                            </w:rPr>
                            <m:t>q3</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q1</m:t>
                          </m:r>
                        </m:e>
                        <m:sub>
                          <m:r>
                            <w:rPr>
                              <w:rFonts w:ascii="Cambria Math" w:hAnsi="Cambria Math"/>
                            </w:rPr>
                            <m:t>t</m:t>
                          </m:r>
                        </m:sub>
                      </m:sSub>
                    </m:den>
                  </m:f>
                  <m:r>
                    <w:rPr>
                      <w:rFonts w:ascii="Cambria Math" w:hAnsi="Cambria Math"/>
                    </w:rPr>
                    <m:t xml:space="preserve">     if </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t</m:t>
                                  </m:r>
                                </m:sub>
                              </m:sSub>
                            </m:num>
                            <m:den>
                              <m:sSub>
                                <m:sSubPr>
                                  <m:ctrlPr>
                                    <w:rPr>
                                      <w:rFonts w:ascii="Cambria Math" w:hAnsi="Cambria Math"/>
                                      <w:i/>
                                    </w:rPr>
                                  </m:ctrlPr>
                                </m:sSubPr>
                                <m:e>
                                  <m:r>
                                    <w:rPr>
                                      <w:rFonts w:ascii="Cambria Math" w:hAnsi="Cambria Math"/>
                                    </w:rPr>
                                    <m:t>p</m:t>
                                  </m:r>
                                </m:e>
                                <m:sub>
                                  <m:r>
                                    <w:rPr>
                                      <w:rFonts w:ascii="Cambria Math" w:hAnsi="Cambria Math"/>
                                    </w:rPr>
                                    <m:t>t-1</m:t>
                                  </m:r>
                                </m:sub>
                              </m:sSub>
                            </m:den>
                          </m:f>
                        </m:e>
                      </m:d>
                    </m:e>
                  </m:func>
                  <m:r>
                    <w:rPr>
                      <w:rFonts w:ascii="Cambria Math" w:hAnsi="Cambria Math"/>
                    </w:rPr>
                    <m:t xml:space="preserve">&lt; </m:t>
                  </m:r>
                  <m:sSub>
                    <m:sSubPr>
                      <m:ctrlPr>
                        <w:rPr>
                          <w:rFonts w:ascii="Cambria Math" w:hAnsi="Cambria Math"/>
                          <w:i/>
                        </w:rPr>
                      </m:ctrlPr>
                    </m:sSubPr>
                    <m:e>
                      <m:r>
                        <w:rPr>
                          <w:rFonts w:ascii="Cambria Math" w:hAnsi="Cambria Math"/>
                        </w:rPr>
                        <m:t>q1</m:t>
                      </m:r>
                    </m:e>
                    <m:sub>
                      <m:r>
                        <w:rPr>
                          <w:rFonts w:ascii="Cambria Math" w:hAnsi="Cambria Math"/>
                        </w:rPr>
                        <m:t>t</m:t>
                      </m:r>
                    </m:sub>
                  </m:sSub>
                </m:e>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t</m:t>
                                      </m:r>
                                    </m:sub>
                                  </m:sSub>
                                </m:num>
                                <m:den>
                                  <m:sSub>
                                    <m:sSubPr>
                                      <m:ctrlPr>
                                        <w:rPr>
                                          <w:rFonts w:ascii="Cambria Math" w:hAnsi="Cambria Math"/>
                                          <w:i/>
                                        </w:rPr>
                                      </m:ctrlPr>
                                    </m:sSubPr>
                                    <m:e>
                                      <m:r>
                                        <w:rPr>
                                          <w:rFonts w:ascii="Cambria Math" w:hAnsi="Cambria Math"/>
                                        </w:rPr>
                                        <m:t>p</m:t>
                                      </m:r>
                                    </m:e>
                                    <m:sub>
                                      <m:r>
                                        <w:rPr>
                                          <w:rFonts w:ascii="Cambria Math" w:hAnsi="Cambria Math"/>
                                        </w:rPr>
                                        <m:t>t-1</m:t>
                                      </m:r>
                                    </m:sub>
                                  </m:sSub>
                                </m:den>
                              </m:f>
                            </m:e>
                          </m:d>
                        </m:e>
                      </m:func>
                      <m:r>
                        <w:rPr>
                          <w:rFonts w:ascii="Cambria Math" w:hAnsi="Cambria Math"/>
                        </w:rPr>
                        <m:t>-</m:t>
                      </m:r>
                      <m:sSub>
                        <m:sSubPr>
                          <m:ctrlPr>
                            <w:rPr>
                              <w:rFonts w:ascii="Cambria Math" w:hAnsi="Cambria Math"/>
                              <w:i/>
                            </w:rPr>
                          </m:ctrlPr>
                        </m:sSubPr>
                        <m:e>
                          <m:r>
                            <w:rPr>
                              <w:rFonts w:ascii="Cambria Math" w:hAnsi="Cambria Math"/>
                            </w:rPr>
                            <m:t>q3</m:t>
                          </m:r>
                        </m:e>
                        <m:sub>
                          <m:r>
                            <w:rPr>
                              <w:rFonts w:ascii="Cambria Math" w:hAnsi="Cambria Math"/>
                            </w:rPr>
                            <m:t>t</m:t>
                          </m:r>
                        </m:sub>
                      </m:sSub>
                    </m:num>
                    <m:den>
                      <m:sSub>
                        <m:sSubPr>
                          <m:ctrlPr>
                            <w:rPr>
                              <w:rFonts w:ascii="Cambria Math" w:hAnsi="Cambria Math"/>
                              <w:i/>
                            </w:rPr>
                          </m:ctrlPr>
                        </m:sSubPr>
                        <m:e>
                          <m:r>
                            <w:rPr>
                              <w:rFonts w:ascii="Cambria Math" w:hAnsi="Cambria Math"/>
                            </w:rPr>
                            <m:t>q3</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q1</m:t>
                          </m:r>
                        </m:e>
                        <m:sub>
                          <m:r>
                            <w:rPr>
                              <w:rFonts w:ascii="Cambria Math" w:hAnsi="Cambria Math"/>
                            </w:rPr>
                            <m:t>t</m:t>
                          </m:r>
                        </m:sub>
                      </m:sSub>
                    </m:den>
                  </m:f>
                  <m:r>
                    <w:rPr>
                      <w:rFonts w:ascii="Cambria Math" w:hAnsi="Cambria Math"/>
                    </w:rPr>
                    <m:t xml:space="preserve">     if </m:t>
                  </m:r>
                  <m:func>
                    <m:funcPr>
                      <m:ctrlPr>
                        <w:rPr>
                          <w:rFonts w:ascii="Cambria Math" w:hAnsi="Cambria Math"/>
                        </w:rPr>
                      </m:ctrlPr>
                    </m:funcPr>
                    <m:fName>
                      <m:r>
                        <m:rPr>
                          <m:sty m:val="p"/>
                        </m:rPr>
                        <w:rPr>
                          <w:rFonts w:ascii="Cambria Math" w:hAnsi="Cambria Math"/>
                        </w:rPr>
                        <m:t>log</m:t>
                      </m:r>
                      <m:ctrlPr>
                        <w:rPr>
                          <w:rFonts w:ascii="Cambria Math" w:hAnsi="Cambria Math"/>
                          <w:i/>
                        </w:rPr>
                      </m:ctrlP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t</m:t>
                                  </m:r>
                                </m:sub>
                              </m:sSub>
                            </m:num>
                            <m:den>
                              <m:sSub>
                                <m:sSubPr>
                                  <m:ctrlPr>
                                    <w:rPr>
                                      <w:rFonts w:ascii="Cambria Math" w:hAnsi="Cambria Math"/>
                                      <w:i/>
                                    </w:rPr>
                                  </m:ctrlPr>
                                </m:sSubPr>
                                <m:e>
                                  <m:r>
                                    <w:rPr>
                                      <w:rFonts w:ascii="Cambria Math" w:hAnsi="Cambria Math"/>
                                    </w:rPr>
                                    <m:t>p</m:t>
                                  </m:r>
                                </m:e>
                                <m:sub>
                                  <m:r>
                                    <w:rPr>
                                      <w:rFonts w:ascii="Cambria Math" w:hAnsi="Cambria Math"/>
                                    </w:rPr>
                                    <m:t>t-1</m:t>
                                  </m:r>
                                </m:sub>
                              </m:sSub>
                            </m:den>
                          </m:f>
                        </m:e>
                      </m:d>
                    </m:e>
                  </m:func>
                  <m:r>
                    <w:rPr>
                      <w:rFonts w:ascii="Cambria Math" w:hAnsi="Cambria Math"/>
                    </w:rPr>
                    <m:t xml:space="preserve">&gt; </m:t>
                  </m:r>
                  <m:sSub>
                    <m:sSubPr>
                      <m:ctrlPr>
                        <w:rPr>
                          <w:rFonts w:ascii="Cambria Math" w:hAnsi="Cambria Math"/>
                          <w:i/>
                        </w:rPr>
                      </m:ctrlPr>
                    </m:sSubPr>
                    <m:e>
                      <m:r>
                        <w:rPr>
                          <w:rFonts w:ascii="Cambria Math" w:hAnsi="Cambria Math"/>
                        </w:rPr>
                        <m:t>q3</m:t>
                      </m:r>
                    </m:e>
                    <m:sub>
                      <m:r>
                        <w:rPr>
                          <w:rFonts w:ascii="Cambria Math" w:hAnsi="Cambria Math"/>
                        </w:rPr>
                        <m:t>t</m:t>
                      </m:r>
                    </m:sub>
                  </m:sSub>
                </m:e>
                <m:e>
                  <m:r>
                    <w:rPr>
                      <w:rFonts w:ascii="Cambria Math" w:hAnsi="Cambria Math"/>
                    </w:rPr>
                    <m:t xml:space="preserve">0                          ellers      </m:t>
                  </m:r>
                </m:e>
              </m:eqArr>
            </m:e>
          </m:d>
        </m:oMath>
      </m:oMathPara>
    </w:p>
    <w:p w14:paraId="3B247E8E" w14:textId="77777777" w:rsidR="0066054F" w:rsidRDefault="0066054F" w:rsidP="005B157C"/>
    <w:p w14:paraId="0217E7BB" w14:textId="77777777" w:rsidR="00474CA6" w:rsidRDefault="00474CA6" w:rsidP="005B157C">
      <w:pPr>
        <w:rPr>
          <w:b/>
        </w:rPr>
      </w:pPr>
    </w:p>
    <w:p w14:paraId="6A2191C0" w14:textId="3A22367B" w:rsidR="009960CA" w:rsidRDefault="00AA61B1" w:rsidP="005B157C">
      <w:r w:rsidRPr="00AA61B1">
        <w:t>Hvor</w:t>
      </w:r>
      <w:r>
        <w:t xml:space="preserve"> </w:t>
      </w:r>
      <w:r w:rsidRPr="006E6B31">
        <w:t>p</w:t>
      </w:r>
      <w:r w:rsidRPr="006E6B31">
        <w:rPr>
          <w:vertAlign w:val="subscript"/>
        </w:rPr>
        <w:t>t</w:t>
      </w:r>
      <w:r w:rsidRPr="00AA61B1">
        <w:t xml:space="preserve"> </w:t>
      </w:r>
      <w:r>
        <w:t>er enhedsværdi,</w:t>
      </w:r>
      <w:r w:rsidR="006E6B31">
        <w:t xml:space="preserve"> og </w:t>
      </w:r>
      <w:r w:rsidR="006E6B31" w:rsidRPr="006E6B31">
        <w:rPr>
          <w:i/>
        </w:rPr>
        <w:t>q</w:t>
      </w:r>
      <w:r w:rsidR="002B030E">
        <w:rPr>
          <w:i/>
        </w:rPr>
        <w:t>1</w:t>
      </w:r>
      <w:r w:rsidR="006E6B31" w:rsidRPr="006E6B31">
        <w:rPr>
          <w:i/>
          <w:vertAlign w:val="subscript"/>
        </w:rPr>
        <w:t>t</w:t>
      </w:r>
      <w:r w:rsidR="006E6B31" w:rsidRPr="006E6B31">
        <w:t xml:space="preserve"> og </w:t>
      </w:r>
      <w:r w:rsidR="006E6B31" w:rsidRPr="006E6B31">
        <w:rPr>
          <w:i/>
        </w:rPr>
        <w:t>q</w:t>
      </w:r>
      <w:r w:rsidR="002B030E">
        <w:rPr>
          <w:i/>
        </w:rPr>
        <w:t>3</w:t>
      </w:r>
      <w:r w:rsidR="006E6B31" w:rsidRPr="006E6B31">
        <w:rPr>
          <w:i/>
          <w:vertAlign w:val="subscript"/>
        </w:rPr>
        <w:t>t</w:t>
      </w:r>
      <w:r w:rsidR="006E6B31">
        <w:t xml:space="preserve"> er første og tredje kvartiler af enhedsværdi vækst over</w:t>
      </w:r>
      <w:r w:rsidR="00DE4231">
        <w:t xml:space="preserve"> </w:t>
      </w:r>
      <w:r w:rsidR="006E6B31">
        <w:t xml:space="preserve">tid, </w:t>
      </w:r>
      <w:r w:rsidR="006E6B31" w:rsidRPr="006E6B31">
        <w:t>log(</w:t>
      </w:r>
      <w:r w:rsidR="006E6B31" w:rsidRPr="006E6B31">
        <w:rPr>
          <w:i/>
        </w:rPr>
        <w:t>p</w:t>
      </w:r>
      <w:r w:rsidR="006E6B31" w:rsidRPr="006E6B31">
        <w:rPr>
          <w:i/>
          <w:vertAlign w:val="subscript"/>
        </w:rPr>
        <w:t>t</w:t>
      </w:r>
      <w:r w:rsidR="006E6B31" w:rsidRPr="006E6B31">
        <w:t>/</w:t>
      </w:r>
      <w:r w:rsidR="006E6B31" w:rsidRPr="006E6B31">
        <w:rPr>
          <w:i/>
        </w:rPr>
        <w:t>p</w:t>
      </w:r>
      <w:r w:rsidR="006E6B31" w:rsidRPr="006E6B31">
        <w:rPr>
          <w:i/>
          <w:vertAlign w:val="subscript"/>
        </w:rPr>
        <w:t>t-1</w:t>
      </w:r>
      <w:r w:rsidR="006E6B31" w:rsidRPr="006E6B31">
        <w:t>)</w:t>
      </w:r>
      <w:r w:rsidR="00DE4231">
        <w:t>. S</w:t>
      </w:r>
      <w:r w:rsidR="00B25D16">
        <w:t>uspicion form</w:t>
      </w:r>
      <w:r w:rsidR="00DE4231">
        <w:t xml:space="preserve">len </w:t>
      </w:r>
      <w:r w:rsidR="00B25D16" w:rsidRPr="00B25D16">
        <w:t>markerer vækstrater uden for den nedre og øvre kvartil baseret på deres relative afstand til den nærmeste kvartil.</w:t>
      </w:r>
      <w:r w:rsidR="00B25D16">
        <w:t xml:space="preserve"> </w:t>
      </w:r>
    </w:p>
    <w:p w14:paraId="24E16206" w14:textId="77777777" w:rsidR="009960CA" w:rsidRDefault="009960CA" w:rsidP="005B157C"/>
    <w:p w14:paraId="757A408A" w14:textId="4028978A" w:rsidR="007F098E" w:rsidRDefault="00B25D16" w:rsidP="005B157C">
      <w:r>
        <w:t xml:space="preserve">Ift. </w:t>
      </w:r>
      <w:proofErr w:type="spellStart"/>
      <w:r>
        <w:t>Tukey’s-law</w:t>
      </w:r>
      <w:proofErr w:type="spellEnd"/>
      <w:r w:rsidR="00E7350F">
        <w:t xml:space="preserve"> </w:t>
      </w:r>
      <w:r w:rsidR="00393AE3">
        <w:t xml:space="preserve">er </w:t>
      </w:r>
      <w:r w:rsidR="00E7350F">
        <w:t>observationer</w:t>
      </w:r>
      <w:r w:rsidR="00393AE3">
        <w:t xml:space="preserve"> med </w:t>
      </w:r>
      <w:proofErr w:type="spellStart"/>
      <w:r w:rsidR="00393AE3">
        <w:t>suspicions</w:t>
      </w:r>
      <w:proofErr w:type="spellEnd"/>
      <w:r w:rsidR="00393AE3">
        <w:t xml:space="preserve"> værdi højere end 1,5 </w:t>
      </w:r>
      <w:proofErr w:type="spellStart"/>
      <w:r w:rsidR="00E7350F">
        <w:t>outliers</w:t>
      </w:r>
      <w:proofErr w:type="spellEnd"/>
      <w:r w:rsidR="00E7350F">
        <w:t>. De må</w:t>
      </w:r>
      <w:r w:rsidR="00393AE3">
        <w:t>ned</w:t>
      </w:r>
      <w:r w:rsidR="00E7350F">
        <w:t xml:space="preserve">lige enhedsværdier svinger meget, og for at beholde så meget data som muligt, bruges der en </w:t>
      </w:r>
      <w:r w:rsidR="005F5AD9">
        <w:t>suspicion</w:t>
      </w:r>
      <w:r w:rsidR="00E7350F">
        <w:t xml:space="preserve"> værdi op til 5.</w:t>
      </w:r>
      <w:r w:rsidR="00E7350F">
        <w:rPr>
          <w:rStyle w:val="Fodnotehenvisning"/>
        </w:rPr>
        <w:footnoteReference w:id="1"/>
      </w:r>
      <w:r w:rsidR="00DE5A9B">
        <w:t xml:space="preserve"> Jo højere </w:t>
      </w:r>
      <w:proofErr w:type="spellStart"/>
      <w:r w:rsidR="00DE5A9B">
        <w:t>suspicion</w:t>
      </w:r>
      <w:proofErr w:type="spellEnd"/>
      <w:r w:rsidR="00393AE3">
        <w:t xml:space="preserve"> værdien er, jo større mængde data kan bevares. </w:t>
      </w:r>
    </w:p>
    <w:p w14:paraId="6E0AEF75" w14:textId="77777777" w:rsidR="007F098E" w:rsidRDefault="007F098E" w:rsidP="005B157C">
      <w:pPr>
        <w:rPr>
          <w:b/>
        </w:rPr>
      </w:pPr>
    </w:p>
    <w:p w14:paraId="34914920" w14:textId="77777777" w:rsidR="007F098E" w:rsidRDefault="007F098E" w:rsidP="005B157C">
      <w:pPr>
        <w:rPr>
          <w:b/>
        </w:rPr>
      </w:pPr>
    </w:p>
    <w:p w14:paraId="44AF2093" w14:textId="631DDC2B" w:rsidR="007F098E" w:rsidRPr="007F098E" w:rsidRDefault="007F098E" w:rsidP="005B157C">
      <w:pPr>
        <w:rPr>
          <w:b/>
        </w:rPr>
      </w:pPr>
      <w:r>
        <w:rPr>
          <w:b/>
        </w:rPr>
        <w:t>3.4</w:t>
      </w:r>
      <w:r w:rsidRPr="007F098E">
        <w:rPr>
          <w:b/>
        </w:rPr>
        <w:t xml:space="preserve"> Kvalitetskorrektioner </w:t>
      </w:r>
    </w:p>
    <w:p w14:paraId="0D8179FA" w14:textId="77777777" w:rsidR="007F098E" w:rsidRDefault="007F098E" w:rsidP="005B157C"/>
    <w:p w14:paraId="3B3125BE" w14:textId="77777777" w:rsidR="007F098E" w:rsidRDefault="007F098E" w:rsidP="005B157C">
      <w:r>
        <w:lastRenderedPageBreak/>
        <w:t xml:space="preserve">Der foretages ikke kvalitetskorrektioner af indeks. Dog undtages varepositioner fra beregningen, hvis prisudviklingen er ekstrem. </w:t>
      </w:r>
    </w:p>
    <w:p w14:paraId="6781AD28" w14:textId="77777777" w:rsidR="007F098E" w:rsidRDefault="007F098E" w:rsidP="005B157C"/>
    <w:p w14:paraId="74DCCE24" w14:textId="77777777" w:rsidR="007F098E" w:rsidRPr="007F098E" w:rsidRDefault="007F098E" w:rsidP="005B157C">
      <w:pPr>
        <w:rPr>
          <w:b/>
        </w:rPr>
      </w:pPr>
      <w:r>
        <w:rPr>
          <w:b/>
        </w:rPr>
        <w:t>3.3.5</w:t>
      </w:r>
      <w:r w:rsidRPr="007F098E">
        <w:rPr>
          <w:b/>
        </w:rPr>
        <w:t xml:space="preserve"> Sæsonkorrektion </w:t>
      </w:r>
    </w:p>
    <w:p w14:paraId="55DD2985" w14:textId="77777777" w:rsidR="007F098E" w:rsidRDefault="007F098E" w:rsidP="005B157C"/>
    <w:p w14:paraId="6C3A7492" w14:textId="43CED360" w:rsidR="00A613EC" w:rsidRDefault="002B030E" w:rsidP="00A613EC">
      <w:pPr>
        <w:rPr>
          <w:b/>
        </w:rPr>
      </w:pPr>
      <w:r>
        <w:t xml:space="preserve">Der beregnes pt ikke indeks med sæsonkorrektion. </w:t>
      </w:r>
      <w:r w:rsidR="00A613EC">
        <w:t xml:space="preserve">Der er planlagt at tilføje sæsonkorrigeret tal i fremtiden.  </w:t>
      </w:r>
    </w:p>
    <w:p w14:paraId="1996F390" w14:textId="77777777" w:rsidR="007F098E" w:rsidRDefault="007F098E" w:rsidP="005B157C">
      <w:pPr>
        <w:rPr>
          <w:b/>
        </w:rPr>
      </w:pPr>
    </w:p>
    <w:p w14:paraId="4F0A8BCA" w14:textId="77777777" w:rsidR="007F098E" w:rsidRDefault="007F098E" w:rsidP="005B157C">
      <w:pPr>
        <w:rPr>
          <w:b/>
        </w:rPr>
      </w:pPr>
    </w:p>
    <w:p w14:paraId="62A1B23A" w14:textId="5DA5059E" w:rsidR="00914F27" w:rsidRPr="00914F27" w:rsidRDefault="00914F27" w:rsidP="005B157C">
      <w:pPr>
        <w:rPr>
          <w:b/>
        </w:rPr>
      </w:pPr>
      <w:r w:rsidRPr="00914F27">
        <w:rPr>
          <w:b/>
        </w:rPr>
        <w:t xml:space="preserve">4 Andet </w:t>
      </w:r>
    </w:p>
    <w:p w14:paraId="703F3FD9" w14:textId="77777777" w:rsidR="00914F27" w:rsidRPr="00914F27" w:rsidRDefault="00914F27" w:rsidP="005B157C">
      <w:pPr>
        <w:rPr>
          <w:b/>
        </w:rPr>
      </w:pPr>
    </w:p>
    <w:p w14:paraId="45814D6F" w14:textId="75A4CC34" w:rsidR="00914F27" w:rsidRPr="00914F27" w:rsidRDefault="00914F27" w:rsidP="005B157C">
      <w:pPr>
        <w:rPr>
          <w:b/>
        </w:rPr>
      </w:pPr>
      <w:r w:rsidRPr="00914F27">
        <w:rPr>
          <w:b/>
        </w:rPr>
        <w:t xml:space="preserve">4.1 Historik </w:t>
      </w:r>
    </w:p>
    <w:p w14:paraId="0C8480DB" w14:textId="77777777" w:rsidR="00914F27" w:rsidRPr="00914F27" w:rsidRDefault="00914F27" w:rsidP="005B157C">
      <w:pPr>
        <w:rPr>
          <w:b/>
        </w:rPr>
      </w:pPr>
    </w:p>
    <w:p w14:paraId="525009C1" w14:textId="77777777" w:rsidR="00914F27" w:rsidRPr="00914F27" w:rsidRDefault="00914F27" w:rsidP="005B157C">
      <w:pPr>
        <w:rPr>
          <w:b/>
        </w:rPr>
      </w:pPr>
      <w:r w:rsidRPr="00914F27">
        <w:rPr>
          <w:b/>
        </w:rPr>
        <w:t xml:space="preserve">a. Frekvens </w:t>
      </w:r>
    </w:p>
    <w:p w14:paraId="639313CB" w14:textId="77777777" w:rsidR="00914F27" w:rsidRDefault="00914F27" w:rsidP="005B157C"/>
    <w:p w14:paraId="1C6B350E" w14:textId="77777777" w:rsidR="00914F27" w:rsidRDefault="00914F27" w:rsidP="005B157C">
      <w:r>
        <w:t xml:space="preserve">Enhedsværdiindeks og mængdeindeks er blevet beregnet af Danmarks Statistik for de enkelte år siden 1934, for de enkelte kvartaler siden 1948 og for de enkelte måneder siden 1977. </w:t>
      </w:r>
    </w:p>
    <w:p w14:paraId="57DF198D" w14:textId="77777777" w:rsidR="00914F27" w:rsidRDefault="00914F27" w:rsidP="005B157C"/>
    <w:p w14:paraId="24E40A4B" w14:textId="77777777" w:rsidR="00914F27" w:rsidRDefault="00914F27" w:rsidP="005B157C">
      <w:r>
        <w:t xml:space="preserve">Overgangen til EU’s indere marked i 1993 og dermed indførelsen af Intrastat betød, at indeksberegningerne for 1993 og 1994 ikke er beregnet for de enkelte måneder. </w:t>
      </w:r>
    </w:p>
    <w:p w14:paraId="5B6BB171" w14:textId="77777777" w:rsidR="00914F27" w:rsidRDefault="00914F27" w:rsidP="005B157C"/>
    <w:p w14:paraId="3A69EC4D" w14:textId="4E3AE4FF" w:rsidR="00914F27" w:rsidRDefault="00914F27" w:rsidP="005B157C">
      <w:r>
        <w:t xml:space="preserve">For 1995 og frem er indeks igen beregnet for de enkelte måneder. Værdiindeks er blevet beregnet siden 1971. </w:t>
      </w:r>
    </w:p>
    <w:p w14:paraId="0C9B145A" w14:textId="77777777" w:rsidR="00914F27" w:rsidRDefault="00914F27" w:rsidP="005B157C"/>
    <w:p w14:paraId="34687406" w14:textId="77777777" w:rsidR="00914F27" w:rsidRDefault="00914F27" w:rsidP="005B157C"/>
    <w:p w14:paraId="2637CDEB" w14:textId="77777777" w:rsidR="00914F27" w:rsidRPr="00914F27" w:rsidRDefault="00914F27" w:rsidP="005B157C">
      <w:pPr>
        <w:rPr>
          <w:b/>
        </w:rPr>
      </w:pPr>
      <w:r w:rsidRPr="00914F27">
        <w:rPr>
          <w:b/>
        </w:rPr>
        <w:t xml:space="preserve">b. Formler </w:t>
      </w:r>
    </w:p>
    <w:p w14:paraId="45E36BA4" w14:textId="77777777" w:rsidR="00914F27" w:rsidRDefault="00914F27" w:rsidP="005B157C"/>
    <w:p w14:paraId="40A5400E" w14:textId="77777777" w:rsidR="00914F27" w:rsidRDefault="00914F27" w:rsidP="005B157C">
      <w:r>
        <w:t xml:space="preserve">Til og med 1970 blev enhedsværdiindekset beregnet efter </w:t>
      </w:r>
      <w:proofErr w:type="spellStart"/>
      <w:r>
        <w:t>Paasches</w:t>
      </w:r>
      <w:proofErr w:type="spellEnd"/>
      <w:r>
        <w:t xml:space="preserve"> formel, mens mængdeindeks blev beregnet efter Laspeyres’ formel. Fra og med 1997 er begge indeks beregnet efter Fishers formel. </w:t>
      </w:r>
    </w:p>
    <w:p w14:paraId="1E972BE2" w14:textId="77777777" w:rsidR="00914F27" w:rsidRDefault="00914F27" w:rsidP="005B157C"/>
    <w:p w14:paraId="287B4BEE" w14:textId="77777777" w:rsidR="00914F27" w:rsidRPr="00914F27" w:rsidRDefault="00914F27" w:rsidP="005B157C">
      <w:pPr>
        <w:rPr>
          <w:b/>
        </w:rPr>
      </w:pPr>
      <w:r w:rsidRPr="00914F27">
        <w:rPr>
          <w:b/>
        </w:rPr>
        <w:t xml:space="preserve">c. Principper </w:t>
      </w:r>
    </w:p>
    <w:p w14:paraId="1D1CA03C" w14:textId="77777777" w:rsidR="00914F27" w:rsidRDefault="00914F27" w:rsidP="005B157C"/>
    <w:p w14:paraId="6E3BEF2B" w14:textId="77777777" w:rsidR="00914F27" w:rsidRDefault="00914F27" w:rsidP="005B157C">
      <w:r>
        <w:t xml:space="preserve">Indeks for 1934 til 1958 samt for årene 1979 til 1987 er beregnet på grundlag af udenrigshandelen opgjort efter specialhandelsprincippet, dvs. ekskl. varebevægelser på toldoplag og varer, der passerer landet under transit. </w:t>
      </w:r>
    </w:p>
    <w:p w14:paraId="0C532881" w14:textId="77777777" w:rsidR="00914F27" w:rsidRDefault="00914F27" w:rsidP="005B157C"/>
    <w:p w14:paraId="6D459548" w14:textId="77777777" w:rsidR="007F098E" w:rsidRDefault="00914F27" w:rsidP="005B157C">
      <w:pPr>
        <w:rPr>
          <w:b/>
        </w:rPr>
      </w:pPr>
      <w:r>
        <w:t>Indeks for 1959 til 1978 samt for 1988 og frem er beregnet efter udenrigshandelen opgjort efter generalhandelsprincippet, dvs. inkl. varebevægelser på toldoplag og varer, der passerer landet under transit.</w:t>
      </w:r>
    </w:p>
    <w:p w14:paraId="217CE2BE" w14:textId="77777777" w:rsidR="007F098E" w:rsidRDefault="007F098E" w:rsidP="005B157C">
      <w:pPr>
        <w:rPr>
          <w:b/>
        </w:rPr>
      </w:pPr>
    </w:p>
    <w:p w14:paraId="4F1368F7" w14:textId="77777777" w:rsidR="007F098E" w:rsidRDefault="007F098E" w:rsidP="005B157C">
      <w:pPr>
        <w:rPr>
          <w:b/>
        </w:rPr>
      </w:pPr>
    </w:p>
    <w:p w14:paraId="36AEB2AF" w14:textId="0C942349" w:rsidR="007F1886" w:rsidRPr="00936FF6" w:rsidRDefault="007F1886" w:rsidP="005B157C">
      <w:pPr>
        <w:rPr>
          <w:b/>
        </w:rPr>
      </w:pPr>
      <w:bookmarkStart w:id="0" w:name="_GoBack"/>
      <w:bookmarkEnd w:id="0"/>
      <w:r w:rsidRPr="00936FF6">
        <w:rPr>
          <w:b/>
        </w:rPr>
        <w:t xml:space="preserve">4.2 Yderligere information </w:t>
      </w:r>
    </w:p>
    <w:p w14:paraId="6709AD14" w14:textId="77777777" w:rsidR="007F1886" w:rsidRDefault="007F1886" w:rsidP="005B157C"/>
    <w:p w14:paraId="7941B95F" w14:textId="77777777" w:rsidR="007F1886" w:rsidRDefault="007F1886" w:rsidP="005B157C">
      <w:r>
        <w:t xml:space="preserve">Beregningerne af indeks for udenrigshandelen er yderligere beskrevet i følgende publikationer: </w:t>
      </w:r>
    </w:p>
    <w:p w14:paraId="69715AEF" w14:textId="77777777" w:rsidR="007F1886" w:rsidRDefault="007F1886" w:rsidP="005B157C"/>
    <w:p w14:paraId="3CBA728B" w14:textId="77777777" w:rsidR="007F1886" w:rsidRDefault="007F1886" w:rsidP="005B157C">
      <w:r>
        <w:lastRenderedPageBreak/>
        <w:t xml:space="preserve">Før 1957 er beregningsmetoderne for indeks kun beskrevet i Danmarks vareindførsel og -udførsel for de pågældende år. Publikation indeholder en tilsvarende beskrivelse af indeks for 1957 og frem. </w:t>
      </w:r>
    </w:p>
    <w:p w14:paraId="57C911AA" w14:textId="77777777" w:rsidR="007F1886" w:rsidRDefault="007F1886" w:rsidP="005B157C"/>
    <w:p w14:paraId="57B7986C" w14:textId="77777777" w:rsidR="007F1886" w:rsidRDefault="007F1886" w:rsidP="005B157C">
      <w:r>
        <w:t xml:space="preserve">For 1957 til 1966 er indeksberegningerne beskrevet i Statistiske Efterretninger, 1959, nr. 3. </w:t>
      </w:r>
    </w:p>
    <w:p w14:paraId="395F5621" w14:textId="77777777" w:rsidR="007F1886" w:rsidRDefault="007F1886" w:rsidP="005B157C"/>
    <w:p w14:paraId="1978033C" w14:textId="77777777" w:rsidR="007F1886" w:rsidRDefault="007F1886" w:rsidP="005B157C">
      <w:r>
        <w:t xml:space="preserve">For 1966 til 1970 er indeksberegningerne beskrevet i Statistiske Efterretninger, 1968, nr. 10. </w:t>
      </w:r>
    </w:p>
    <w:p w14:paraId="2C20E712" w14:textId="77777777" w:rsidR="007F1886" w:rsidRDefault="007F1886" w:rsidP="005B157C"/>
    <w:p w14:paraId="054D61F4" w14:textId="77777777" w:rsidR="007F1886" w:rsidRDefault="007F1886" w:rsidP="005B157C">
      <w:r>
        <w:t xml:space="preserve">Omlægning af indeksberegningerne i 1971 er beskrevet i Statistiske Efterretninger, 1972, nr. 80. </w:t>
      </w:r>
    </w:p>
    <w:p w14:paraId="04B37AE7" w14:textId="77777777" w:rsidR="007F1886" w:rsidRDefault="007F1886" w:rsidP="005B157C"/>
    <w:p w14:paraId="747E984D" w14:textId="77777777" w:rsidR="007F1886" w:rsidRDefault="007F1886" w:rsidP="005B157C">
      <w:r>
        <w:t xml:space="preserve">Omlægning af indeksberegningerne i 1979 er beskrevet i Statistiske Efterretninger, 1984, nr. 1. </w:t>
      </w:r>
    </w:p>
    <w:p w14:paraId="37A5BE81" w14:textId="77777777" w:rsidR="007F1886" w:rsidRDefault="007F1886" w:rsidP="005B157C"/>
    <w:p w14:paraId="6C8A3081" w14:textId="77777777" w:rsidR="00914F27" w:rsidRDefault="007F1886" w:rsidP="005B157C">
      <w:pPr>
        <w:rPr>
          <w:b/>
        </w:rPr>
      </w:pPr>
      <w:r>
        <w:t>Revision af mængdeindeks for perioden 1980 til 1997 er beskrevet i Statistiske Efterretninger, 1999, nr. 2.</w:t>
      </w:r>
    </w:p>
    <w:p w14:paraId="0C73B64F" w14:textId="77777777" w:rsidR="000F66E3" w:rsidRPr="00DE5A9B" w:rsidRDefault="00DE5A9B" w:rsidP="005B157C">
      <w:r>
        <w:t xml:space="preserve"> </w:t>
      </w:r>
    </w:p>
    <w:p w14:paraId="123B78C6" w14:textId="57324FB4" w:rsidR="005B157C" w:rsidRDefault="005B157C" w:rsidP="00134139"/>
    <w:sectPr w:rsidR="005B157C" w:rsidSect="00BF26BC">
      <w:headerReference w:type="even" r:id="rId10"/>
      <w:headerReference w:type="default" r:id="rId11"/>
      <w:pgSz w:w="11906" w:h="16838" w:code="9"/>
      <w:pgMar w:top="964" w:right="3061" w:bottom="4025" w:left="2948" w:header="397" w:footer="709" w:gutter="0"/>
      <w:pgNumType w:start="7"/>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D53A27" w15:done="0"/>
  <w15:commentEx w15:paraId="19BF640C" w15:done="0"/>
  <w15:commentEx w15:paraId="5E6DD6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59E4F" w14:textId="77777777" w:rsidR="00AE5BA8" w:rsidRDefault="00AE5BA8">
      <w:r>
        <w:separator/>
      </w:r>
    </w:p>
  </w:endnote>
  <w:endnote w:type="continuationSeparator" w:id="0">
    <w:p w14:paraId="0364AB55" w14:textId="77777777" w:rsidR="00AE5BA8" w:rsidRDefault="00AE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harter">
    <w:panose1 w:val="00000500000000000000"/>
    <w:charset w:val="00"/>
    <w:family w:val="roman"/>
    <w:notTrueType/>
    <w:pitch w:val="variable"/>
    <w:sig w:usb0="00000003" w:usb1="00000000" w:usb2="00000000" w:usb3="00000000" w:csb0="00000001" w:csb1="00000000"/>
  </w:font>
  <w:font w:name="Frutiger">
    <w:panose1 w:val="000B05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utiger Cn">
    <w:panose1 w:val="000B0500000000000000"/>
    <w:charset w:val="00"/>
    <w:family w:val="swiss"/>
    <w:notTrueType/>
    <w:pitch w:val="variable"/>
    <w:sig w:usb0="00000003" w:usb1="00000000" w:usb2="00000000" w:usb3="00000000" w:csb0="00000001" w:csb1="00000000"/>
  </w:font>
  <w:font w:name="Frutiger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E945F" w14:textId="77777777" w:rsidR="00AE5BA8" w:rsidRDefault="00AE5BA8">
      <w:r>
        <w:separator/>
      </w:r>
    </w:p>
  </w:footnote>
  <w:footnote w:type="continuationSeparator" w:id="0">
    <w:p w14:paraId="5CB1C6E3" w14:textId="77777777" w:rsidR="00AE5BA8" w:rsidRDefault="00AE5BA8">
      <w:r>
        <w:continuationSeparator/>
      </w:r>
    </w:p>
  </w:footnote>
  <w:footnote w:id="1">
    <w:p w14:paraId="7224AA31" w14:textId="77777777" w:rsidR="00E7350F" w:rsidRDefault="00E7350F">
      <w:pPr>
        <w:pStyle w:val="Fodnotetekst"/>
      </w:pPr>
      <w:r>
        <w:rPr>
          <w:rStyle w:val="Fodnotehenvisning"/>
        </w:rPr>
        <w:footnoteRef/>
      </w:r>
      <w:r>
        <w:t xml:space="preserve"> Suspicion værdi af 5 er ad-hoc, ikke en fast regel.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352A4" w14:textId="77777777" w:rsidR="007849BF" w:rsidRPr="00BF26BC" w:rsidRDefault="007849BF" w:rsidP="00F879A8">
    <w:pPr>
      <w:framePr w:w="7937" w:h="283" w:hRule="exact" w:wrap="around" w:vAnchor="page" w:hAnchor="page" w:x="908" w:y="397"/>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02746" w14:textId="77777777" w:rsidR="007849BF" w:rsidRPr="00BF26BC" w:rsidRDefault="007849BF" w:rsidP="005B157C">
    <w:pPr>
      <w:framePr w:w="7937" w:h="283" w:hRule="exact" w:wrap="around" w:vAnchor="page" w:hAnchor="page" w:x="908" w:y="397"/>
      <w:rPr>
        <w:sz w:val="18"/>
      </w:rPr>
    </w:pPr>
  </w:p>
  <w:p w14:paraId="516FA3FC" w14:textId="77777777" w:rsidR="007849BF" w:rsidRPr="00BF26BC" w:rsidRDefault="007849BF" w:rsidP="00BF26BC">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A4B6DC"/>
    <w:lvl w:ilvl="0">
      <w:start w:val="1"/>
      <w:numFmt w:val="decimal"/>
      <w:lvlText w:val="%1."/>
      <w:lvlJc w:val="left"/>
      <w:pPr>
        <w:tabs>
          <w:tab w:val="num" w:pos="1492"/>
        </w:tabs>
        <w:ind w:left="1492" w:hanging="360"/>
      </w:pPr>
    </w:lvl>
  </w:abstractNum>
  <w:abstractNum w:abstractNumId="1">
    <w:nsid w:val="FFFFFF7D"/>
    <w:multiLevelType w:val="singleLevel"/>
    <w:tmpl w:val="1C682CE6"/>
    <w:lvl w:ilvl="0">
      <w:start w:val="1"/>
      <w:numFmt w:val="decimal"/>
      <w:lvlText w:val="%1."/>
      <w:lvlJc w:val="left"/>
      <w:pPr>
        <w:tabs>
          <w:tab w:val="num" w:pos="1209"/>
        </w:tabs>
        <w:ind w:left="1209" w:hanging="360"/>
      </w:pPr>
    </w:lvl>
  </w:abstractNum>
  <w:abstractNum w:abstractNumId="2">
    <w:nsid w:val="FFFFFF7E"/>
    <w:multiLevelType w:val="singleLevel"/>
    <w:tmpl w:val="9EAA6EA4"/>
    <w:lvl w:ilvl="0">
      <w:start w:val="1"/>
      <w:numFmt w:val="decimal"/>
      <w:lvlText w:val="%1."/>
      <w:lvlJc w:val="left"/>
      <w:pPr>
        <w:tabs>
          <w:tab w:val="num" w:pos="926"/>
        </w:tabs>
        <w:ind w:left="926" w:hanging="360"/>
      </w:pPr>
    </w:lvl>
  </w:abstractNum>
  <w:abstractNum w:abstractNumId="3">
    <w:nsid w:val="FFFFFF7F"/>
    <w:multiLevelType w:val="singleLevel"/>
    <w:tmpl w:val="8D20A7BE"/>
    <w:lvl w:ilvl="0">
      <w:start w:val="1"/>
      <w:numFmt w:val="decimal"/>
      <w:lvlText w:val="%1."/>
      <w:lvlJc w:val="left"/>
      <w:pPr>
        <w:tabs>
          <w:tab w:val="num" w:pos="643"/>
        </w:tabs>
        <w:ind w:left="643" w:hanging="360"/>
      </w:pPr>
    </w:lvl>
  </w:abstractNum>
  <w:abstractNum w:abstractNumId="4">
    <w:nsid w:val="FFFFFF80"/>
    <w:multiLevelType w:val="singleLevel"/>
    <w:tmpl w:val="36502C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80A2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4012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98E84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328EAE"/>
    <w:lvl w:ilvl="0">
      <w:start w:val="1"/>
      <w:numFmt w:val="decimal"/>
      <w:lvlText w:val="%1."/>
      <w:lvlJc w:val="left"/>
      <w:pPr>
        <w:tabs>
          <w:tab w:val="num" w:pos="360"/>
        </w:tabs>
        <w:ind w:left="360" w:hanging="360"/>
      </w:pPr>
    </w:lvl>
  </w:abstractNum>
  <w:abstractNum w:abstractNumId="9">
    <w:nsid w:val="FFFFFF89"/>
    <w:multiLevelType w:val="singleLevel"/>
    <w:tmpl w:val="D6D8CEF8"/>
    <w:lvl w:ilvl="0">
      <w:start w:val="1"/>
      <w:numFmt w:val="bullet"/>
      <w:lvlText w:val=""/>
      <w:lvlJc w:val="left"/>
      <w:pPr>
        <w:tabs>
          <w:tab w:val="num" w:pos="360"/>
        </w:tabs>
        <w:ind w:left="360" w:hanging="360"/>
      </w:pPr>
      <w:rPr>
        <w:rFonts w:ascii="Symbol" w:hAnsi="Symbol" w:hint="default"/>
      </w:rPr>
    </w:lvl>
  </w:abstractNum>
  <w:abstractNum w:abstractNumId="10">
    <w:nsid w:val="13460C3F"/>
    <w:multiLevelType w:val="hybridMultilevel"/>
    <w:tmpl w:val="572A5D5C"/>
    <w:lvl w:ilvl="0" w:tplc="372CED88">
      <w:start w:val="1"/>
      <w:numFmt w:val="bullet"/>
      <w:pStyle w:val="Opstilling-punkttegn"/>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num w:numId="1">
    <w:abstractNumId w:val="9"/>
  </w:num>
  <w:num w:numId="2">
    <w:abstractNumId w:val="8"/>
  </w:num>
  <w:num w:numId="3">
    <w:abstractNumId w:val="10"/>
  </w:num>
  <w:num w:numId="4">
    <w:abstractNumId w:val="10"/>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wit Sisay Temere">
    <w15:presenceInfo w15:providerId="AD" w15:userId="S-1-5-21-2031436270-1089497111-1341851483-364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drawingGridHorizontalSpacing w:val="95"/>
  <w:displayHorizontalDrawingGridEvery w:val="2"/>
  <w:noPunctuationKerning/>
  <w:characterSpacingControl w:val="doNotCompres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setemplate" w:val="dspubl.dot"/>
    <w:docVar w:name="Office2010" w:val="1"/>
    <w:docVar w:name="print" w:val="600"/>
    <w:docVar w:name="publtype" w:val="as5"/>
  </w:docVars>
  <w:rsids>
    <w:rsidRoot w:val="00B35524"/>
    <w:rsid w:val="0002279A"/>
    <w:rsid w:val="00063F5C"/>
    <w:rsid w:val="00065403"/>
    <w:rsid w:val="00087938"/>
    <w:rsid w:val="00092719"/>
    <w:rsid w:val="000B4E74"/>
    <w:rsid w:val="000F66E3"/>
    <w:rsid w:val="00110878"/>
    <w:rsid w:val="00113E0F"/>
    <w:rsid w:val="001338DC"/>
    <w:rsid w:val="00134139"/>
    <w:rsid w:val="00150927"/>
    <w:rsid w:val="00152E65"/>
    <w:rsid w:val="00153F46"/>
    <w:rsid w:val="0016278D"/>
    <w:rsid w:val="001A4D32"/>
    <w:rsid w:val="001A7518"/>
    <w:rsid w:val="001B0B13"/>
    <w:rsid w:val="001C1B61"/>
    <w:rsid w:val="001C7CF1"/>
    <w:rsid w:val="001D4891"/>
    <w:rsid w:val="00200C7B"/>
    <w:rsid w:val="00205FEE"/>
    <w:rsid w:val="00233E1C"/>
    <w:rsid w:val="002414C9"/>
    <w:rsid w:val="00250F94"/>
    <w:rsid w:val="0026273D"/>
    <w:rsid w:val="00267FBE"/>
    <w:rsid w:val="00285DEF"/>
    <w:rsid w:val="002B030E"/>
    <w:rsid w:val="002B6314"/>
    <w:rsid w:val="002C1C71"/>
    <w:rsid w:val="002D704C"/>
    <w:rsid w:val="002E5F6E"/>
    <w:rsid w:val="002F0280"/>
    <w:rsid w:val="003010E6"/>
    <w:rsid w:val="00352570"/>
    <w:rsid w:val="00363309"/>
    <w:rsid w:val="003773CD"/>
    <w:rsid w:val="00387B77"/>
    <w:rsid w:val="00393AE3"/>
    <w:rsid w:val="00395FBC"/>
    <w:rsid w:val="003A6F7C"/>
    <w:rsid w:val="003E1568"/>
    <w:rsid w:val="003F0C8E"/>
    <w:rsid w:val="003F187C"/>
    <w:rsid w:val="00413B8D"/>
    <w:rsid w:val="00422E7F"/>
    <w:rsid w:val="004441ED"/>
    <w:rsid w:val="0045397C"/>
    <w:rsid w:val="0046182F"/>
    <w:rsid w:val="00474CA6"/>
    <w:rsid w:val="00480269"/>
    <w:rsid w:val="004A15AA"/>
    <w:rsid w:val="004A3447"/>
    <w:rsid w:val="004B1B83"/>
    <w:rsid w:val="004C776F"/>
    <w:rsid w:val="004D372C"/>
    <w:rsid w:val="004D6075"/>
    <w:rsid w:val="004E5C51"/>
    <w:rsid w:val="0052629F"/>
    <w:rsid w:val="00537CBC"/>
    <w:rsid w:val="0054432B"/>
    <w:rsid w:val="005450F1"/>
    <w:rsid w:val="00555C5D"/>
    <w:rsid w:val="005842DB"/>
    <w:rsid w:val="00590CC4"/>
    <w:rsid w:val="005B10B1"/>
    <w:rsid w:val="005B157C"/>
    <w:rsid w:val="005B2268"/>
    <w:rsid w:val="005F5888"/>
    <w:rsid w:val="005F5AD9"/>
    <w:rsid w:val="005F6C1C"/>
    <w:rsid w:val="00602695"/>
    <w:rsid w:val="00603440"/>
    <w:rsid w:val="00617034"/>
    <w:rsid w:val="00631475"/>
    <w:rsid w:val="00654347"/>
    <w:rsid w:val="0066054F"/>
    <w:rsid w:val="00676F1F"/>
    <w:rsid w:val="006848BA"/>
    <w:rsid w:val="00690CA5"/>
    <w:rsid w:val="0069457F"/>
    <w:rsid w:val="006A2D34"/>
    <w:rsid w:val="006B4ACC"/>
    <w:rsid w:val="006B6264"/>
    <w:rsid w:val="006C218F"/>
    <w:rsid w:val="006E3FA7"/>
    <w:rsid w:val="006E6B31"/>
    <w:rsid w:val="006F1A6A"/>
    <w:rsid w:val="007123CA"/>
    <w:rsid w:val="00714B9B"/>
    <w:rsid w:val="0071558C"/>
    <w:rsid w:val="0073121D"/>
    <w:rsid w:val="00751B95"/>
    <w:rsid w:val="007740E7"/>
    <w:rsid w:val="00775B7D"/>
    <w:rsid w:val="00782C39"/>
    <w:rsid w:val="007849BF"/>
    <w:rsid w:val="007B0CD7"/>
    <w:rsid w:val="007B27A6"/>
    <w:rsid w:val="007E6634"/>
    <w:rsid w:val="007F098E"/>
    <w:rsid w:val="007F1886"/>
    <w:rsid w:val="007F4AE5"/>
    <w:rsid w:val="007F711B"/>
    <w:rsid w:val="008011B2"/>
    <w:rsid w:val="008055E5"/>
    <w:rsid w:val="008212AC"/>
    <w:rsid w:val="008227C1"/>
    <w:rsid w:val="008240B7"/>
    <w:rsid w:val="008323E8"/>
    <w:rsid w:val="0084789D"/>
    <w:rsid w:val="00855DB9"/>
    <w:rsid w:val="008803CB"/>
    <w:rsid w:val="0089362D"/>
    <w:rsid w:val="008A1755"/>
    <w:rsid w:val="008A3512"/>
    <w:rsid w:val="008B39C7"/>
    <w:rsid w:val="009024B9"/>
    <w:rsid w:val="00910D90"/>
    <w:rsid w:val="00914F27"/>
    <w:rsid w:val="00935FE4"/>
    <w:rsid w:val="00936FF6"/>
    <w:rsid w:val="009517F7"/>
    <w:rsid w:val="00967555"/>
    <w:rsid w:val="00984A0C"/>
    <w:rsid w:val="009960CA"/>
    <w:rsid w:val="009A2218"/>
    <w:rsid w:val="009A36A1"/>
    <w:rsid w:val="009A643E"/>
    <w:rsid w:val="009B5538"/>
    <w:rsid w:val="009B6E27"/>
    <w:rsid w:val="009B77DD"/>
    <w:rsid w:val="009E78AE"/>
    <w:rsid w:val="009F1B67"/>
    <w:rsid w:val="00A01E7A"/>
    <w:rsid w:val="00A051EC"/>
    <w:rsid w:val="00A0607F"/>
    <w:rsid w:val="00A613EC"/>
    <w:rsid w:val="00A709F5"/>
    <w:rsid w:val="00A82204"/>
    <w:rsid w:val="00A83512"/>
    <w:rsid w:val="00A841CD"/>
    <w:rsid w:val="00AA61B1"/>
    <w:rsid w:val="00AB0969"/>
    <w:rsid w:val="00AC37B3"/>
    <w:rsid w:val="00AC42B7"/>
    <w:rsid w:val="00AE5BA8"/>
    <w:rsid w:val="00AE7AE1"/>
    <w:rsid w:val="00B04D40"/>
    <w:rsid w:val="00B17281"/>
    <w:rsid w:val="00B25D16"/>
    <w:rsid w:val="00B35524"/>
    <w:rsid w:val="00B42244"/>
    <w:rsid w:val="00B427C4"/>
    <w:rsid w:val="00B52840"/>
    <w:rsid w:val="00B93176"/>
    <w:rsid w:val="00BA03E2"/>
    <w:rsid w:val="00BA218A"/>
    <w:rsid w:val="00BA4EDC"/>
    <w:rsid w:val="00BB5287"/>
    <w:rsid w:val="00BC4212"/>
    <w:rsid w:val="00BD40E7"/>
    <w:rsid w:val="00BF26BC"/>
    <w:rsid w:val="00BF2BEC"/>
    <w:rsid w:val="00BF792D"/>
    <w:rsid w:val="00BF7F45"/>
    <w:rsid w:val="00C11514"/>
    <w:rsid w:val="00C22579"/>
    <w:rsid w:val="00C22A2C"/>
    <w:rsid w:val="00C31B93"/>
    <w:rsid w:val="00C502C7"/>
    <w:rsid w:val="00C63D63"/>
    <w:rsid w:val="00C74191"/>
    <w:rsid w:val="00C75228"/>
    <w:rsid w:val="00C76713"/>
    <w:rsid w:val="00C9280F"/>
    <w:rsid w:val="00CE19EA"/>
    <w:rsid w:val="00CE2284"/>
    <w:rsid w:val="00CF10E4"/>
    <w:rsid w:val="00D03F45"/>
    <w:rsid w:val="00D2072B"/>
    <w:rsid w:val="00D25E68"/>
    <w:rsid w:val="00D35450"/>
    <w:rsid w:val="00D46483"/>
    <w:rsid w:val="00D55681"/>
    <w:rsid w:val="00D55A7B"/>
    <w:rsid w:val="00D74F6A"/>
    <w:rsid w:val="00D8408B"/>
    <w:rsid w:val="00DE4231"/>
    <w:rsid w:val="00DE5A9B"/>
    <w:rsid w:val="00DF2D13"/>
    <w:rsid w:val="00DF4042"/>
    <w:rsid w:val="00E11CE2"/>
    <w:rsid w:val="00E24AF1"/>
    <w:rsid w:val="00E401F0"/>
    <w:rsid w:val="00E458C0"/>
    <w:rsid w:val="00E47F16"/>
    <w:rsid w:val="00E55A7D"/>
    <w:rsid w:val="00E7350F"/>
    <w:rsid w:val="00F2626E"/>
    <w:rsid w:val="00F343E8"/>
    <w:rsid w:val="00F452E3"/>
    <w:rsid w:val="00F52464"/>
    <w:rsid w:val="00F5745A"/>
    <w:rsid w:val="00F71ACF"/>
    <w:rsid w:val="00F879A8"/>
    <w:rsid w:val="00FB7572"/>
    <w:rsid w:val="00FD5F67"/>
    <w:rsid w:val="00FE45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2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rFonts w:ascii="Charter" w:hAnsi="Charter"/>
      <w:sz w:val="19"/>
    </w:rPr>
  </w:style>
  <w:style w:type="paragraph" w:styleId="Overskrift1">
    <w:name w:val="heading 1"/>
    <w:basedOn w:val="Normal"/>
    <w:next w:val="Normal"/>
    <w:link w:val="Overskrift1Tegn"/>
    <w:qFormat/>
    <w:pPr>
      <w:keepNext/>
      <w:keepLines/>
      <w:spacing w:before="480" w:after="240"/>
      <w:jc w:val="left"/>
      <w:outlineLvl w:val="0"/>
    </w:pPr>
    <w:rPr>
      <w:rFonts w:ascii="Frutiger" w:hAnsi="Frutiger"/>
      <w:b/>
      <w:sz w:val="22"/>
    </w:rPr>
  </w:style>
  <w:style w:type="paragraph" w:styleId="Overskrift2">
    <w:name w:val="heading 2"/>
    <w:basedOn w:val="Normal"/>
    <w:next w:val="Normal"/>
    <w:qFormat/>
    <w:rsid w:val="00A82204"/>
    <w:pPr>
      <w:keepNext/>
      <w:keepLines/>
      <w:spacing w:before="480" w:after="240"/>
      <w:jc w:val="left"/>
      <w:outlineLvl w:val="1"/>
    </w:pPr>
    <w:rPr>
      <w:rFonts w:ascii="Frutiger" w:hAnsi="Frutiger"/>
      <w:b/>
      <w:sz w:val="20"/>
    </w:rPr>
  </w:style>
  <w:style w:type="paragraph" w:styleId="Overskrift3">
    <w:name w:val="heading 3"/>
    <w:basedOn w:val="Normal"/>
    <w:next w:val="Normal"/>
    <w:qFormat/>
    <w:pPr>
      <w:keepNext/>
      <w:keepLines/>
      <w:spacing w:before="480" w:after="240"/>
      <w:jc w:val="left"/>
      <w:outlineLvl w:val="2"/>
    </w:pPr>
    <w:rPr>
      <w:rFonts w:ascii="Frutiger" w:hAnsi="Frutiger"/>
      <w:b/>
    </w:rPr>
  </w:style>
  <w:style w:type="paragraph" w:styleId="Overskrift4">
    <w:name w:val="heading 4"/>
    <w:basedOn w:val="Normal"/>
    <w:next w:val="Normal"/>
    <w:qFormat/>
    <w:rsid w:val="0073121D"/>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atoNr">
    <w:name w:val="Dato/Nr."/>
    <w:basedOn w:val="Normal"/>
    <w:semiHidden/>
    <w:pPr>
      <w:tabs>
        <w:tab w:val="left" w:pos="7825"/>
        <w:tab w:val="left" w:pos="8959"/>
      </w:tabs>
    </w:pPr>
  </w:style>
  <w:style w:type="paragraph" w:customStyle="1" w:styleId="DiaTablrubrik">
    <w:name w:val="DiaTablårubrik"/>
    <w:basedOn w:val="Normal"/>
    <w:semiHidden/>
    <w:pPr>
      <w:suppressAutoHyphens/>
      <w:spacing w:before="60" w:after="60"/>
    </w:pPr>
    <w:rPr>
      <w:rFonts w:ascii="Arial" w:hAnsi="Arial"/>
      <w:lang w:val="sv-SE"/>
    </w:rPr>
  </w:style>
  <w:style w:type="paragraph" w:customStyle="1" w:styleId="Efterretndato">
    <w:name w:val="Efterretn dato"/>
    <w:basedOn w:val="Normal"/>
    <w:next w:val="Titel"/>
    <w:semiHidden/>
    <w:pPr>
      <w:pBdr>
        <w:bottom w:val="single" w:sz="36" w:space="4" w:color="FF9900"/>
      </w:pBdr>
      <w:tabs>
        <w:tab w:val="left" w:pos="-567"/>
        <w:tab w:val="left" w:pos="0"/>
      </w:tabs>
      <w:spacing w:before="80" w:after="80"/>
      <w:ind w:left="-2098"/>
      <w:jc w:val="left"/>
    </w:pPr>
    <w:rPr>
      <w:rFonts w:ascii="Frutiger" w:hAnsi="Frutiger"/>
      <w:sz w:val="28"/>
    </w:rPr>
  </w:style>
  <w:style w:type="paragraph" w:styleId="Titel">
    <w:name w:val="Title"/>
    <w:basedOn w:val="Normal"/>
    <w:next w:val="Normal"/>
    <w:qFormat/>
    <w:pPr>
      <w:spacing w:before="480" w:after="240"/>
      <w:jc w:val="left"/>
    </w:pPr>
    <w:rPr>
      <w:rFonts w:ascii="Frutiger" w:hAnsi="Frutiger"/>
      <w:b/>
      <w:sz w:val="26"/>
    </w:rPr>
  </w:style>
  <w:style w:type="paragraph" w:customStyle="1" w:styleId="Efterretnserie">
    <w:name w:val="Efterretn serie"/>
    <w:basedOn w:val="Normal"/>
    <w:next w:val="Efterretndato"/>
    <w:semiHidden/>
    <w:pPr>
      <w:tabs>
        <w:tab w:val="right" w:pos="9923"/>
      </w:tabs>
      <w:spacing w:before="80" w:after="720"/>
      <w:ind w:left="-2098"/>
      <w:jc w:val="left"/>
    </w:pPr>
    <w:rPr>
      <w:rFonts w:ascii="Frutiger" w:hAnsi="Frutiger"/>
      <w:b/>
      <w:i/>
      <w:caps/>
      <w:sz w:val="54"/>
    </w:rPr>
  </w:style>
  <w:style w:type="paragraph" w:styleId="Undertitel">
    <w:name w:val="Subtitle"/>
    <w:basedOn w:val="Normal"/>
    <w:next w:val="Normal"/>
    <w:qFormat/>
    <w:pPr>
      <w:keepNext/>
      <w:spacing w:after="60"/>
      <w:ind w:left="-1985"/>
    </w:pPr>
    <w:rPr>
      <w:rFonts w:ascii="Arial Black" w:hAnsi="Arial Black"/>
      <w:i/>
      <w:sz w:val="22"/>
      <w:lang w:val="sv-SE"/>
    </w:rPr>
  </w:style>
  <w:style w:type="paragraph" w:customStyle="1" w:styleId="Engelsktitel">
    <w:name w:val="Engelsk titel"/>
    <w:basedOn w:val="Undertitel"/>
    <w:next w:val="Normal"/>
    <w:semiHidden/>
    <w:pPr>
      <w:spacing w:after="0"/>
    </w:pPr>
    <w:rPr>
      <w:rFonts w:ascii="Arial" w:hAnsi="Arial"/>
      <w:i w:val="0"/>
      <w:lang w:val="en-GB"/>
    </w:rPr>
  </w:style>
  <w:style w:type="paragraph" w:customStyle="1" w:styleId="OversigtsTabelStd">
    <w:name w:val="OversigtsTabelStd"/>
    <w:basedOn w:val="Normal"/>
    <w:pPr>
      <w:tabs>
        <w:tab w:val="left" w:pos="113"/>
        <w:tab w:val="left" w:pos="227"/>
        <w:tab w:val="left" w:pos="340"/>
      </w:tabs>
    </w:pPr>
    <w:rPr>
      <w:rFonts w:ascii="Frutiger Cn" w:hAnsi="Frutiger Cn"/>
      <w:sz w:val="18"/>
    </w:rPr>
  </w:style>
  <w:style w:type="paragraph" w:customStyle="1" w:styleId="OversigtsTabelLille">
    <w:name w:val="OversigtsTabelLille"/>
    <w:basedOn w:val="OversigtsTabelStd"/>
    <w:rPr>
      <w:sz w:val="16"/>
    </w:rPr>
  </w:style>
  <w:style w:type="paragraph" w:customStyle="1" w:styleId="EnhedLille">
    <w:name w:val="EnhedLille"/>
    <w:basedOn w:val="OversigtsTabelLille"/>
    <w:next w:val="Normal"/>
    <w:pPr>
      <w:spacing w:before="80" w:after="80"/>
      <w:ind w:left="86"/>
    </w:pPr>
  </w:style>
  <w:style w:type="paragraph" w:customStyle="1" w:styleId="EnhedStd">
    <w:name w:val="EnhedStd"/>
    <w:basedOn w:val="OversigtsTabelStd"/>
    <w:next w:val="Normal"/>
    <w:pPr>
      <w:spacing w:before="80" w:after="80"/>
      <w:ind w:left="86"/>
    </w:pPr>
    <w:rPr>
      <w:sz w:val="16"/>
    </w:rPr>
  </w:style>
  <w:style w:type="paragraph" w:customStyle="1" w:styleId="ExcelKde">
    <w:name w:val="ExcelKæde"/>
    <w:basedOn w:val="Normal"/>
    <w:pPr>
      <w:spacing w:line="80" w:lineRule="exact"/>
      <w:ind w:right="-4253"/>
    </w:pPr>
  </w:style>
  <w:style w:type="character" w:styleId="Fodnotehenvisning">
    <w:name w:val="footnote reference"/>
    <w:semiHidden/>
    <w:rPr>
      <w:rFonts w:ascii="Frutiger Cn" w:hAnsi="Frutiger Cn"/>
      <w:position w:val="6"/>
      <w:sz w:val="14"/>
    </w:rPr>
  </w:style>
  <w:style w:type="paragraph" w:styleId="Fodnotetekst">
    <w:name w:val="footnote text"/>
    <w:basedOn w:val="Normal"/>
    <w:semiHidden/>
    <w:pPr>
      <w:tabs>
        <w:tab w:val="left" w:pos="113"/>
      </w:tabs>
      <w:spacing w:before="20"/>
      <w:ind w:left="125" w:hanging="125"/>
    </w:pPr>
    <w:rPr>
      <w:rFonts w:ascii="Frutiger Cn" w:hAnsi="Frutiger Cn"/>
      <w:sz w:val="16"/>
    </w:rPr>
  </w:style>
  <w:style w:type="paragraph" w:styleId="Indholdsfortegnelse1">
    <w:name w:val="toc 1"/>
    <w:basedOn w:val="Normal"/>
    <w:next w:val="Normal"/>
    <w:autoRedefine/>
    <w:semiHidden/>
    <w:rsid w:val="00B93176"/>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B93176"/>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B93176"/>
    <w:pPr>
      <w:overflowPunct/>
      <w:autoSpaceDE/>
      <w:autoSpaceDN/>
      <w:adjustRightInd/>
      <w:textAlignment w:val="auto"/>
    </w:pPr>
    <w:rPr>
      <w:sz w:val="22"/>
      <w:szCs w:val="24"/>
    </w:rPr>
  </w:style>
  <w:style w:type="paragraph" w:styleId="Indholdsfortegnelse4">
    <w:name w:val="toc 4"/>
    <w:basedOn w:val="Normal"/>
    <w:next w:val="Normal"/>
    <w:autoRedefine/>
    <w:semiHidden/>
    <w:pPr>
      <w:tabs>
        <w:tab w:val="right" w:pos="7087"/>
      </w:tabs>
      <w:ind w:left="660"/>
    </w:pPr>
    <w:rPr>
      <w:sz w:val="20"/>
      <w:lang w:val="sv-SE"/>
    </w:rPr>
  </w:style>
  <w:style w:type="paragraph" w:styleId="Indholdsfortegnelse5">
    <w:name w:val="toc 5"/>
    <w:basedOn w:val="Normal"/>
    <w:next w:val="Normal"/>
    <w:autoRedefine/>
    <w:semiHidden/>
    <w:pPr>
      <w:tabs>
        <w:tab w:val="right" w:pos="7087"/>
      </w:tabs>
      <w:ind w:left="880"/>
    </w:pPr>
    <w:rPr>
      <w:sz w:val="20"/>
      <w:lang w:val="sv-SE"/>
    </w:rPr>
  </w:style>
  <w:style w:type="paragraph" w:styleId="Indholdsfortegnelse6">
    <w:name w:val="toc 6"/>
    <w:basedOn w:val="Normal"/>
    <w:next w:val="Normal"/>
    <w:autoRedefine/>
    <w:semiHidden/>
    <w:pPr>
      <w:tabs>
        <w:tab w:val="right" w:pos="7087"/>
      </w:tabs>
      <w:ind w:left="1100"/>
    </w:pPr>
    <w:rPr>
      <w:sz w:val="20"/>
      <w:lang w:val="sv-SE"/>
    </w:rPr>
  </w:style>
  <w:style w:type="paragraph" w:styleId="Indholdsfortegnelse7">
    <w:name w:val="toc 7"/>
    <w:basedOn w:val="Normal"/>
    <w:next w:val="Normal"/>
    <w:autoRedefine/>
    <w:semiHidden/>
    <w:pPr>
      <w:tabs>
        <w:tab w:val="right" w:pos="7087"/>
      </w:tabs>
      <w:ind w:left="1320"/>
    </w:pPr>
    <w:rPr>
      <w:sz w:val="20"/>
      <w:lang w:val="sv-SE"/>
    </w:rPr>
  </w:style>
  <w:style w:type="paragraph" w:styleId="Indholdsfortegnelse8">
    <w:name w:val="toc 8"/>
    <w:basedOn w:val="Normal"/>
    <w:next w:val="Normal"/>
    <w:autoRedefine/>
    <w:semiHidden/>
    <w:pPr>
      <w:tabs>
        <w:tab w:val="right" w:pos="7087"/>
      </w:tabs>
      <w:ind w:left="1540"/>
    </w:pPr>
    <w:rPr>
      <w:sz w:val="20"/>
      <w:lang w:val="sv-SE"/>
    </w:rPr>
  </w:style>
  <w:style w:type="paragraph" w:styleId="Indholdsfortegnelse9">
    <w:name w:val="toc 9"/>
    <w:basedOn w:val="Normal"/>
    <w:next w:val="Normal"/>
    <w:autoRedefine/>
    <w:semiHidden/>
    <w:pPr>
      <w:tabs>
        <w:tab w:val="right" w:pos="7087"/>
      </w:tabs>
      <w:ind w:left="1760"/>
    </w:pPr>
    <w:rPr>
      <w:sz w:val="20"/>
      <w:lang w:val="sv-SE"/>
    </w:rPr>
  </w:style>
  <w:style w:type="paragraph" w:customStyle="1" w:styleId="Ledetekst">
    <w:name w:val="Ledetekst"/>
    <w:basedOn w:val="Normal"/>
    <w:next w:val="Normal"/>
    <w:link w:val="LedetekstTegn"/>
    <w:rsid w:val="00BF26BC"/>
    <w:pPr>
      <w:keepNext/>
      <w:framePr w:w="1757" w:hSpace="283" w:wrap="notBeside" w:vAnchor="text" w:hAnchor="page" w:y="1"/>
      <w:suppressAutoHyphens/>
      <w:jc w:val="right"/>
    </w:pPr>
    <w:rPr>
      <w:rFonts w:ascii="Frutiger" w:hAnsi="Frutiger"/>
      <w:i/>
      <w:sz w:val="17"/>
    </w:rPr>
  </w:style>
  <w:style w:type="paragraph" w:customStyle="1" w:styleId="LedetekstTNS">
    <w:name w:val="LedetekstTNS"/>
    <w:basedOn w:val="Ledetekst"/>
    <w:next w:val="Normal"/>
    <w:pPr>
      <w:pageBreakBefore/>
      <w:framePr w:wrap="notBeside"/>
    </w:pPr>
  </w:style>
  <w:style w:type="paragraph" w:customStyle="1" w:styleId="LilleCelle">
    <w:name w:val="LilleCelle"/>
    <w:basedOn w:val="OversigtsTabelLille"/>
    <w:pPr>
      <w:jc w:val="right"/>
    </w:pPr>
  </w:style>
  <w:style w:type="paragraph" w:customStyle="1" w:styleId="LilleCelleMedLuft">
    <w:name w:val="LilleCelleMedLuft"/>
    <w:basedOn w:val="OversigtsTabelLille"/>
    <w:pPr>
      <w:spacing w:before="80"/>
      <w:jc w:val="right"/>
    </w:pPr>
  </w:style>
  <w:style w:type="paragraph" w:customStyle="1" w:styleId="LilleCelleStreg">
    <w:name w:val="LilleCelleStreg"/>
    <w:basedOn w:val="LilleCelleMedLuft"/>
    <w:pPr>
      <w:pBdr>
        <w:bottom w:val="single" w:sz="6" w:space="2" w:color="auto"/>
      </w:pBdr>
      <w:spacing w:before="0" w:after="60"/>
      <w:ind w:left="113"/>
      <w:jc w:val="center"/>
    </w:pPr>
  </w:style>
  <w:style w:type="paragraph" w:customStyle="1" w:styleId="LilleCelleMidtStreg">
    <w:name w:val="LilleCelleMidtStreg"/>
    <w:basedOn w:val="LilleCelleStreg"/>
    <w:pPr>
      <w:pBdr>
        <w:bottom w:val="single" w:sz="6" w:space="4" w:color="auto"/>
      </w:pBdr>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lang w:val="sv-SE"/>
    </w:rPr>
  </w:style>
  <w:style w:type="paragraph" w:styleId="Normalindrykning">
    <w:name w:val="Normal Indent"/>
    <w:basedOn w:val="Normal"/>
    <w:semiHidden/>
    <w:pPr>
      <w:ind w:left="1304"/>
    </w:pPr>
  </w:style>
  <w:style w:type="paragraph" w:customStyle="1" w:styleId="Oprems">
    <w:name w:val="Oprems"/>
    <w:basedOn w:val="Normal"/>
    <w:semiHidden/>
    <w:pPr>
      <w:spacing w:after="80"/>
      <w:jc w:val="left"/>
    </w:pPr>
  </w:style>
  <w:style w:type="paragraph" w:styleId="Opstilling-punkttegn">
    <w:name w:val="List Bullet"/>
    <w:basedOn w:val="Oprems"/>
    <w:autoRedefine/>
    <w:pPr>
      <w:numPr>
        <w:numId w:val="4"/>
      </w:numPr>
    </w:pPr>
  </w:style>
  <w:style w:type="paragraph" w:styleId="Opstilling-talellerbogst">
    <w:name w:val="List Number"/>
    <w:basedOn w:val="Oprems"/>
    <w:pPr>
      <w:ind w:left="357" w:hanging="357"/>
    </w:pPr>
  </w:style>
  <w:style w:type="character" w:customStyle="1" w:styleId="Personligmeddelelsesform">
    <w:name w:val="Personlig meddelelsesform"/>
    <w:semiHidden/>
    <w:rPr>
      <w:rFonts w:ascii="Arial" w:hAnsi="Arial" w:cs="Arial"/>
      <w:color w:val="auto"/>
      <w:sz w:val="20"/>
    </w:rPr>
  </w:style>
  <w:style w:type="character" w:customStyle="1" w:styleId="Personligsvarlayout">
    <w:name w:val="Personlig svarlayout"/>
    <w:semiHidden/>
    <w:rPr>
      <w:rFonts w:ascii="Arial" w:hAnsi="Arial" w:cs="Arial"/>
      <w:color w:val="auto"/>
      <w:sz w:val="20"/>
    </w:rPr>
  </w:style>
  <w:style w:type="paragraph" w:customStyle="1" w:styleId="Producentmening">
    <w:name w:val="Producentmening"/>
    <w:semiHidden/>
    <w:pPr>
      <w:spacing w:before="120"/>
    </w:pPr>
    <w:rPr>
      <w:rFonts w:ascii="Arial" w:hAnsi="Arial"/>
      <w:noProof/>
    </w:rPr>
  </w:style>
  <w:style w:type="paragraph" w:styleId="Sidefod">
    <w:name w:val="footer"/>
    <w:basedOn w:val="Normal"/>
    <w:pPr>
      <w:tabs>
        <w:tab w:val="left" w:pos="5273"/>
      </w:tabs>
    </w:pPr>
  </w:style>
  <w:style w:type="paragraph" w:styleId="Sidehoved">
    <w:name w:val="header"/>
    <w:basedOn w:val="Normal"/>
    <w:pPr>
      <w:tabs>
        <w:tab w:val="center" w:pos="4252"/>
        <w:tab w:val="right" w:pos="8504"/>
      </w:tabs>
      <w:ind w:left="-2552"/>
      <w:jc w:val="left"/>
    </w:pPr>
  </w:style>
  <w:style w:type="character" w:styleId="Sidetal">
    <w:name w:val="page number"/>
    <w:rPr>
      <w:rFonts w:ascii="Frutiger" w:hAnsi="Frutiger"/>
      <w:sz w:val="22"/>
      <w:u w:val="none"/>
    </w:rPr>
  </w:style>
  <w:style w:type="paragraph" w:styleId="Slutnotetekst">
    <w:name w:val="endnote text"/>
    <w:basedOn w:val="Fodnotetekst"/>
    <w:semiHidden/>
  </w:style>
  <w:style w:type="paragraph" w:customStyle="1" w:styleId="StdCelle">
    <w:name w:val="StdCelle"/>
    <w:basedOn w:val="OversigtsTabelStd"/>
    <w:pPr>
      <w:jc w:val="right"/>
    </w:pPr>
  </w:style>
  <w:style w:type="paragraph" w:customStyle="1" w:styleId="StdCelleMedLuft">
    <w:name w:val="StdCelleMedLuft"/>
    <w:basedOn w:val="OversigtsTabelStd"/>
    <w:pPr>
      <w:spacing w:before="80"/>
      <w:jc w:val="right"/>
    </w:pPr>
  </w:style>
  <w:style w:type="paragraph" w:customStyle="1" w:styleId="StdCelleStreg">
    <w:name w:val="StdCelleStreg"/>
    <w:basedOn w:val="OversigtsTabelStd"/>
    <w:pPr>
      <w:pBdr>
        <w:bottom w:val="single" w:sz="6" w:space="3" w:color="auto"/>
      </w:pBdr>
      <w:spacing w:after="60"/>
      <w:ind w:left="113"/>
      <w:jc w:val="center"/>
    </w:pPr>
  </w:style>
  <w:style w:type="paragraph" w:customStyle="1" w:styleId="StdCelleMidtStreg">
    <w:name w:val="StdCelleMidtStreg"/>
    <w:basedOn w:val="StdCelleStreg"/>
    <w:pPr>
      <w:pBdr>
        <w:bottom w:val="single" w:sz="6" w:space="6" w:color="auto"/>
      </w:pBdr>
    </w:pPr>
  </w:style>
  <w:style w:type="paragraph" w:customStyle="1" w:styleId="Tabeloverskrift">
    <w:name w:val="Tabeloverskrift"/>
    <w:basedOn w:val="Normal"/>
    <w:next w:val="Normal"/>
    <w:rsid w:val="00537CBC"/>
    <w:pPr>
      <w:keepNext/>
      <w:keepLines/>
      <w:spacing w:after="80"/>
      <w:jc w:val="left"/>
    </w:pPr>
    <w:rPr>
      <w:rFonts w:ascii="Frutiger Cn" w:hAnsi="Frutiger Cn"/>
      <w:b/>
    </w:rPr>
  </w:style>
  <w:style w:type="paragraph" w:customStyle="1" w:styleId="TabTitel">
    <w:name w:val="TabTitel"/>
    <w:basedOn w:val="Normal"/>
    <w:next w:val="Normal"/>
    <w:pPr>
      <w:keepNext/>
      <w:keepLines/>
      <w:tabs>
        <w:tab w:val="left" w:pos="2041"/>
      </w:tabs>
      <w:spacing w:after="80"/>
      <w:ind w:left="2041" w:hanging="2041"/>
      <w:jc w:val="left"/>
    </w:pPr>
    <w:rPr>
      <w:rFonts w:ascii="Frutiger Cn" w:hAnsi="Frutiger Cn"/>
      <w:b/>
    </w:rPr>
  </w:style>
  <w:style w:type="character" w:customStyle="1" w:styleId="udpunkt">
    <w:name w:val="udpunkt"/>
    <w:rPr>
      <w:rFonts w:ascii="Frutiger Cn" w:hAnsi="Frutiger Cn"/>
      <w:color w:val="000000"/>
      <w:spacing w:val="40"/>
      <w:w w:val="100"/>
      <w:sz w:val="14"/>
    </w:rPr>
  </w:style>
  <w:style w:type="paragraph" w:customStyle="1" w:styleId="NytDetail">
    <w:name w:val="NytDetail"/>
    <w:semiHidden/>
    <w:pPr>
      <w:tabs>
        <w:tab w:val="left" w:pos="-2835"/>
        <w:tab w:val="left" w:pos="-1985"/>
      </w:tabs>
      <w:spacing w:before="80"/>
      <w:ind w:left="-3005"/>
    </w:pPr>
    <w:rPr>
      <w:rFonts w:ascii="Frutiger" w:hAnsi="Frutiger"/>
      <w:iCs/>
      <w:sz w:val="18"/>
      <w:lang w:eastAsia="en-US"/>
    </w:rPr>
  </w:style>
  <w:style w:type="paragraph" w:customStyle="1" w:styleId="NytFra">
    <w:name w:val="NytFra"/>
    <w:next w:val="NytDetail"/>
    <w:semiHidden/>
    <w:pPr>
      <w:spacing w:after="480"/>
      <w:ind w:left="-3005"/>
    </w:pPr>
    <w:rPr>
      <w:rFonts w:ascii="Frutiger" w:hAnsi="Frutiger"/>
      <w:b/>
      <w:i/>
      <w:caps/>
      <w:sz w:val="24"/>
      <w:lang w:eastAsia="en-US"/>
    </w:rPr>
  </w:style>
  <w:style w:type="paragraph" w:customStyle="1" w:styleId="NytHeader">
    <w:name w:val="NytHeader"/>
    <w:next w:val="NytFra"/>
    <w:semiHidden/>
    <w:pPr>
      <w:spacing w:before="720" w:line="860" w:lineRule="exact"/>
      <w:ind w:left="-3005"/>
    </w:pPr>
    <w:rPr>
      <w:rFonts w:ascii="Frutiger" w:hAnsi="Frutiger"/>
      <w:b/>
      <w:i/>
      <w:caps/>
      <w:color w:val="008000"/>
      <w:sz w:val="188"/>
      <w:lang w:eastAsia="en-US"/>
    </w:rPr>
  </w:style>
  <w:style w:type="paragraph" w:customStyle="1" w:styleId="abstract">
    <w:name w:val="abstract"/>
    <w:basedOn w:val="Normal"/>
    <w:pPr>
      <w:pBdr>
        <w:top w:val="single" w:sz="6" w:space="4" w:color="000000"/>
        <w:bottom w:val="single" w:sz="6" w:space="4" w:color="000000"/>
      </w:pBdr>
    </w:pPr>
    <w:rPr>
      <w:rFonts w:ascii="Frutiger Light" w:hAnsi="Frutiger Light"/>
      <w:sz w:val="18"/>
    </w:rPr>
  </w:style>
  <w:style w:type="character" w:styleId="Hyperlink">
    <w:name w:val="Hyperlink"/>
    <w:semiHidden/>
    <w:rPr>
      <w:color w:val="auto"/>
      <w:u w:val="single"/>
    </w:rPr>
  </w:style>
  <w:style w:type="character" w:customStyle="1" w:styleId="BesgtHyperlink1">
    <w:name w:val="BesøgtHyperlink1"/>
    <w:semiHidden/>
    <w:rPr>
      <w:color w:val="auto"/>
      <w:u w:val="single"/>
    </w:rPr>
  </w:style>
  <w:style w:type="character" w:styleId="HTML-variabel">
    <w:name w:val="HTML Variable"/>
    <w:semiHidden/>
    <w:rPr>
      <w:i/>
      <w:iCs/>
    </w:rPr>
  </w:style>
  <w:style w:type="paragraph" w:customStyle="1" w:styleId="MellemRubrik">
    <w:name w:val="MellemRubrik"/>
    <w:basedOn w:val="Overskrift2"/>
    <w:rsid w:val="009A2218"/>
    <w:pPr>
      <w:spacing w:before="0" w:after="20"/>
    </w:pPr>
  </w:style>
  <w:style w:type="paragraph" w:customStyle="1" w:styleId="FigurOverskrift">
    <w:name w:val="FigurOverskrift"/>
    <w:basedOn w:val="Titel"/>
    <w:rsid w:val="00C22579"/>
    <w:pPr>
      <w:spacing w:before="0" w:after="60"/>
    </w:pPr>
    <w:rPr>
      <w:rFonts w:ascii="Frutiger Cn" w:hAnsi="Frutiger Cn"/>
      <w:b w:val="0"/>
      <w:sz w:val="20"/>
    </w:rPr>
  </w:style>
  <w:style w:type="character" w:customStyle="1" w:styleId="Overskrift1Tegn">
    <w:name w:val="Overskrift 1 Tegn"/>
    <w:link w:val="Overskrift1"/>
    <w:rsid w:val="003F0C8E"/>
    <w:rPr>
      <w:rFonts w:ascii="Frutiger" w:hAnsi="Frutiger"/>
      <w:b/>
      <w:sz w:val="22"/>
    </w:rPr>
  </w:style>
  <w:style w:type="paragraph" w:styleId="Markeringsbobletekst">
    <w:name w:val="Balloon Text"/>
    <w:basedOn w:val="Normal"/>
    <w:link w:val="MarkeringsbobletekstTegn"/>
    <w:uiPriority w:val="99"/>
    <w:semiHidden/>
    <w:unhideWhenUsed/>
    <w:rsid w:val="002414C9"/>
    <w:rPr>
      <w:rFonts w:ascii="Tahoma" w:hAnsi="Tahoma" w:cs="Tahoma"/>
      <w:sz w:val="16"/>
      <w:szCs w:val="16"/>
    </w:rPr>
  </w:style>
  <w:style w:type="character" w:customStyle="1" w:styleId="MarkeringsbobletekstTegn">
    <w:name w:val="Markeringsbobletekst Tegn"/>
    <w:link w:val="Markeringsbobletekst"/>
    <w:uiPriority w:val="99"/>
    <w:semiHidden/>
    <w:rsid w:val="002414C9"/>
    <w:rPr>
      <w:rFonts w:ascii="Tahoma" w:hAnsi="Tahoma" w:cs="Tahoma"/>
      <w:sz w:val="16"/>
      <w:szCs w:val="16"/>
    </w:rPr>
  </w:style>
  <w:style w:type="character" w:customStyle="1" w:styleId="LedetekstTegn">
    <w:name w:val="Ledetekst Tegn"/>
    <w:link w:val="Ledetekst"/>
    <w:rsid w:val="00AC37B3"/>
    <w:rPr>
      <w:rFonts w:ascii="Frutiger" w:hAnsi="Frutiger"/>
      <w:i/>
      <w:sz w:val="17"/>
    </w:rPr>
  </w:style>
  <w:style w:type="character" w:styleId="Fremhv">
    <w:name w:val="Emphasis"/>
    <w:basedOn w:val="Standardskrifttypeiafsnit"/>
    <w:uiPriority w:val="20"/>
    <w:qFormat/>
    <w:rsid w:val="001C1B61"/>
    <w:rPr>
      <w:i/>
      <w:iCs/>
    </w:rPr>
  </w:style>
  <w:style w:type="paragraph" w:styleId="Listeafsnit">
    <w:name w:val="List Paragraph"/>
    <w:basedOn w:val="Normal"/>
    <w:uiPriority w:val="34"/>
    <w:qFormat/>
    <w:rsid w:val="00914F27"/>
    <w:pPr>
      <w:ind w:left="720"/>
      <w:contextualSpacing/>
    </w:pPr>
  </w:style>
  <w:style w:type="character" w:styleId="Kommentarhenvisning">
    <w:name w:val="annotation reference"/>
    <w:basedOn w:val="Standardskrifttypeiafsnit"/>
    <w:uiPriority w:val="99"/>
    <w:semiHidden/>
    <w:unhideWhenUsed/>
    <w:rsid w:val="005B10B1"/>
    <w:rPr>
      <w:sz w:val="16"/>
      <w:szCs w:val="16"/>
    </w:rPr>
  </w:style>
  <w:style w:type="paragraph" w:styleId="Kommentartekst">
    <w:name w:val="annotation text"/>
    <w:basedOn w:val="Normal"/>
    <w:link w:val="KommentartekstTegn"/>
    <w:uiPriority w:val="99"/>
    <w:semiHidden/>
    <w:unhideWhenUsed/>
    <w:rsid w:val="005B10B1"/>
    <w:rPr>
      <w:sz w:val="20"/>
    </w:rPr>
  </w:style>
  <w:style w:type="character" w:customStyle="1" w:styleId="KommentartekstTegn">
    <w:name w:val="Kommentartekst Tegn"/>
    <w:basedOn w:val="Standardskrifttypeiafsnit"/>
    <w:link w:val="Kommentartekst"/>
    <w:uiPriority w:val="99"/>
    <w:semiHidden/>
    <w:rsid w:val="005B10B1"/>
    <w:rPr>
      <w:rFonts w:ascii="Charter" w:hAnsi="Charter"/>
    </w:rPr>
  </w:style>
  <w:style w:type="paragraph" w:styleId="Kommentaremne">
    <w:name w:val="annotation subject"/>
    <w:basedOn w:val="Kommentartekst"/>
    <w:next w:val="Kommentartekst"/>
    <w:link w:val="KommentaremneTegn"/>
    <w:uiPriority w:val="99"/>
    <w:semiHidden/>
    <w:unhideWhenUsed/>
    <w:rsid w:val="005B10B1"/>
    <w:rPr>
      <w:b/>
      <w:bCs/>
    </w:rPr>
  </w:style>
  <w:style w:type="character" w:customStyle="1" w:styleId="KommentaremneTegn">
    <w:name w:val="Kommentaremne Tegn"/>
    <w:basedOn w:val="KommentartekstTegn"/>
    <w:link w:val="Kommentaremne"/>
    <w:uiPriority w:val="99"/>
    <w:semiHidden/>
    <w:rsid w:val="005B10B1"/>
    <w:rPr>
      <w:rFonts w:ascii="Charter" w:hAnsi="Charter"/>
      <w:b/>
      <w:bCs/>
    </w:rPr>
  </w:style>
  <w:style w:type="paragraph" w:styleId="Korrektur">
    <w:name w:val="Revision"/>
    <w:hidden/>
    <w:uiPriority w:val="99"/>
    <w:semiHidden/>
    <w:rsid w:val="005B10B1"/>
    <w:rPr>
      <w:rFonts w:ascii="Charter" w:hAnsi="Charter"/>
      <w:sz w:val="19"/>
    </w:rPr>
  </w:style>
  <w:style w:type="table" w:styleId="Tabel-Gitter">
    <w:name w:val="Table Grid"/>
    <w:basedOn w:val="Tabel-Normal"/>
    <w:uiPriority w:val="59"/>
    <w:rsid w:val="001B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rFonts w:ascii="Charter" w:hAnsi="Charter"/>
      <w:sz w:val="19"/>
    </w:rPr>
  </w:style>
  <w:style w:type="paragraph" w:styleId="Overskrift1">
    <w:name w:val="heading 1"/>
    <w:basedOn w:val="Normal"/>
    <w:next w:val="Normal"/>
    <w:link w:val="Overskrift1Tegn"/>
    <w:qFormat/>
    <w:pPr>
      <w:keepNext/>
      <w:keepLines/>
      <w:spacing w:before="480" w:after="240"/>
      <w:jc w:val="left"/>
      <w:outlineLvl w:val="0"/>
    </w:pPr>
    <w:rPr>
      <w:rFonts w:ascii="Frutiger" w:hAnsi="Frutiger"/>
      <w:b/>
      <w:sz w:val="22"/>
    </w:rPr>
  </w:style>
  <w:style w:type="paragraph" w:styleId="Overskrift2">
    <w:name w:val="heading 2"/>
    <w:basedOn w:val="Normal"/>
    <w:next w:val="Normal"/>
    <w:qFormat/>
    <w:rsid w:val="00A82204"/>
    <w:pPr>
      <w:keepNext/>
      <w:keepLines/>
      <w:spacing w:before="480" w:after="240"/>
      <w:jc w:val="left"/>
      <w:outlineLvl w:val="1"/>
    </w:pPr>
    <w:rPr>
      <w:rFonts w:ascii="Frutiger" w:hAnsi="Frutiger"/>
      <w:b/>
      <w:sz w:val="20"/>
    </w:rPr>
  </w:style>
  <w:style w:type="paragraph" w:styleId="Overskrift3">
    <w:name w:val="heading 3"/>
    <w:basedOn w:val="Normal"/>
    <w:next w:val="Normal"/>
    <w:qFormat/>
    <w:pPr>
      <w:keepNext/>
      <w:keepLines/>
      <w:spacing w:before="480" w:after="240"/>
      <w:jc w:val="left"/>
      <w:outlineLvl w:val="2"/>
    </w:pPr>
    <w:rPr>
      <w:rFonts w:ascii="Frutiger" w:hAnsi="Frutiger"/>
      <w:b/>
    </w:rPr>
  </w:style>
  <w:style w:type="paragraph" w:styleId="Overskrift4">
    <w:name w:val="heading 4"/>
    <w:basedOn w:val="Normal"/>
    <w:next w:val="Normal"/>
    <w:qFormat/>
    <w:rsid w:val="0073121D"/>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atoNr">
    <w:name w:val="Dato/Nr."/>
    <w:basedOn w:val="Normal"/>
    <w:semiHidden/>
    <w:pPr>
      <w:tabs>
        <w:tab w:val="left" w:pos="7825"/>
        <w:tab w:val="left" w:pos="8959"/>
      </w:tabs>
    </w:pPr>
  </w:style>
  <w:style w:type="paragraph" w:customStyle="1" w:styleId="DiaTablrubrik">
    <w:name w:val="DiaTablårubrik"/>
    <w:basedOn w:val="Normal"/>
    <w:semiHidden/>
    <w:pPr>
      <w:suppressAutoHyphens/>
      <w:spacing w:before="60" w:after="60"/>
    </w:pPr>
    <w:rPr>
      <w:rFonts w:ascii="Arial" w:hAnsi="Arial"/>
      <w:lang w:val="sv-SE"/>
    </w:rPr>
  </w:style>
  <w:style w:type="paragraph" w:customStyle="1" w:styleId="Efterretndato">
    <w:name w:val="Efterretn dato"/>
    <w:basedOn w:val="Normal"/>
    <w:next w:val="Titel"/>
    <w:semiHidden/>
    <w:pPr>
      <w:pBdr>
        <w:bottom w:val="single" w:sz="36" w:space="4" w:color="FF9900"/>
      </w:pBdr>
      <w:tabs>
        <w:tab w:val="left" w:pos="-567"/>
        <w:tab w:val="left" w:pos="0"/>
      </w:tabs>
      <w:spacing w:before="80" w:after="80"/>
      <w:ind w:left="-2098"/>
      <w:jc w:val="left"/>
    </w:pPr>
    <w:rPr>
      <w:rFonts w:ascii="Frutiger" w:hAnsi="Frutiger"/>
      <w:sz w:val="28"/>
    </w:rPr>
  </w:style>
  <w:style w:type="paragraph" w:styleId="Titel">
    <w:name w:val="Title"/>
    <w:basedOn w:val="Normal"/>
    <w:next w:val="Normal"/>
    <w:qFormat/>
    <w:pPr>
      <w:spacing w:before="480" w:after="240"/>
      <w:jc w:val="left"/>
    </w:pPr>
    <w:rPr>
      <w:rFonts w:ascii="Frutiger" w:hAnsi="Frutiger"/>
      <w:b/>
      <w:sz w:val="26"/>
    </w:rPr>
  </w:style>
  <w:style w:type="paragraph" w:customStyle="1" w:styleId="Efterretnserie">
    <w:name w:val="Efterretn serie"/>
    <w:basedOn w:val="Normal"/>
    <w:next w:val="Efterretndato"/>
    <w:semiHidden/>
    <w:pPr>
      <w:tabs>
        <w:tab w:val="right" w:pos="9923"/>
      </w:tabs>
      <w:spacing w:before="80" w:after="720"/>
      <w:ind w:left="-2098"/>
      <w:jc w:val="left"/>
    </w:pPr>
    <w:rPr>
      <w:rFonts w:ascii="Frutiger" w:hAnsi="Frutiger"/>
      <w:b/>
      <w:i/>
      <w:caps/>
      <w:sz w:val="54"/>
    </w:rPr>
  </w:style>
  <w:style w:type="paragraph" w:styleId="Undertitel">
    <w:name w:val="Subtitle"/>
    <w:basedOn w:val="Normal"/>
    <w:next w:val="Normal"/>
    <w:qFormat/>
    <w:pPr>
      <w:keepNext/>
      <w:spacing w:after="60"/>
      <w:ind w:left="-1985"/>
    </w:pPr>
    <w:rPr>
      <w:rFonts w:ascii="Arial Black" w:hAnsi="Arial Black"/>
      <w:i/>
      <w:sz w:val="22"/>
      <w:lang w:val="sv-SE"/>
    </w:rPr>
  </w:style>
  <w:style w:type="paragraph" w:customStyle="1" w:styleId="Engelsktitel">
    <w:name w:val="Engelsk titel"/>
    <w:basedOn w:val="Undertitel"/>
    <w:next w:val="Normal"/>
    <w:semiHidden/>
    <w:pPr>
      <w:spacing w:after="0"/>
    </w:pPr>
    <w:rPr>
      <w:rFonts w:ascii="Arial" w:hAnsi="Arial"/>
      <w:i w:val="0"/>
      <w:lang w:val="en-GB"/>
    </w:rPr>
  </w:style>
  <w:style w:type="paragraph" w:customStyle="1" w:styleId="OversigtsTabelStd">
    <w:name w:val="OversigtsTabelStd"/>
    <w:basedOn w:val="Normal"/>
    <w:pPr>
      <w:tabs>
        <w:tab w:val="left" w:pos="113"/>
        <w:tab w:val="left" w:pos="227"/>
        <w:tab w:val="left" w:pos="340"/>
      </w:tabs>
    </w:pPr>
    <w:rPr>
      <w:rFonts w:ascii="Frutiger Cn" w:hAnsi="Frutiger Cn"/>
      <w:sz w:val="18"/>
    </w:rPr>
  </w:style>
  <w:style w:type="paragraph" w:customStyle="1" w:styleId="OversigtsTabelLille">
    <w:name w:val="OversigtsTabelLille"/>
    <w:basedOn w:val="OversigtsTabelStd"/>
    <w:rPr>
      <w:sz w:val="16"/>
    </w:rPr>
  </w:style>
  <w:style w:type="paragraph" w:customStyle="1" w:styleId="EnhedLille">
    <w:name w:val="EnhedLille"/>
    <w:basedOn w:val="OversigtsTabelLille"/>
    <w:next w:val="Normal"/>
    <w:pPr>
      <w:spacing w:before="80" w:after="80"/>
      <w:ind w:left="86"/>
    </w:pPr>
  </w:style>
  <w:style w:type="paragraph" w:customStyle="1" w:styleId="EnhedStd">
    <w:name w:val="EnhedStd"/>
    <w:basedOn w:val="OversigtsTabelStd"/>
    <w:next w:val="Normal"/>
    <w:pPr>
      <w:spacing w:before="80" w:after="80"/>
      <w:ind w:left="86"/>
    </w:pPr>
    <w:rPr>
      <w:sz w:val="16"/>
    </w:rPr>
  </w:style>
  <w:style w:type="paragraph" w:customStyle="1" w:styleId="ExcelKde">
    <w:name w:val="ExcelKæde"/>
    <w:basedOn w:val="Normal"/>
    <w:pPr>
      <w:spacing w:line="80" w:lineRule="exact"/>
      <w:ind w:right="-4253"/>
    </w:pPr>
  </w:style>
  <w:style w:type="character" w:styleId="Fodnotehenvisning">
    <w:name w:val="footnote reference"/>
    <w:semiHidden/>
    <w:rPr>
      <w:rFonts w:ascii="Frutiger Cn" w:hAnsi="Frutiger Cn"/>
      <w:position w:val="6"/>
      <w:sz w:val="14"/>
    </w:rPr>
  </w:style>
  <w:style w:type="paragraph" w:styleId="Fodnotetekst">
    <w:name w:val="footnote text"/>
    <w:basedOn w:val="Normal"/>
    <w:semiHidden/>
    <w:pPr>
      <w:tabs>
        <w:tab w:val="left" w:pos="113"/>
      </w:tabs>
      <w:spacing w:before="20"/>
      <w:ind w:left="125" w:hanging="125"/>
    </w:pPr>
    <w:rPr>
      <w:rFonts w:ascii="Frutiger Cn" w:hAnsi="Frutiger Cn"/>
      <w:sz w:val="16"/>
    </w:rPr>
  </w:style>
  <w:style w:type="paragraph" w:styleId="Indholdsfortegnelse1">
    <w:name w:val="toc 1"/>
    <w:basedOn w:val="Normal"/>
    <w:next w:val="Normal"/>
    <w:autoRedefine/>
    <w:semiHidden/>
    <w:rsid w:val="00B93176"/>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B93176"/>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B93176"/>
    <w:pPr>
      <w:overflowPunct/>
      <w:autoSpaceDE/>
      <w:autoSpaceDN/>
      <w:adjustRightInd/>
      <w:textAlignment w:val="auto"/>
    </w:pPr>
    <w:rPr>
      <w:sz w:val="22"/>
      <w:szCs w:val="24"/>
    </w:rPr>
  </w:style>
  <w:style w:type="paragraph" w:styleId="Indholdsfortegnelse4">
    <w:name w:val="toc 4"/>
    <w:basedOn w:val="Normal"/>
    <w:next w:val="Normal"/>
    <w:autoRedefine/>
    <w:semiHidden/>
    <w:pPr>
      <w:tabs>
        <w:tab w:val="right" w:pos="7087"/>
      </w:tabs>
      <w:ind w:left="660"/>
    </w:pPr>
    <w:rPr>
      <w:sz w:val="20"/>
      <w:lang w:val="sv-SE"/>
    </w:rPr>
  </w:style>
  <w:style w:type="paragraph" w:styleId="Indholdsfortegnelse5">
    <w:name w:val="toc 5"/>
    <w:basedOn w:val="Normal"/>
    <w:next w:val="Normal"/>
    <w:autoRedefine/>
    <w:semiHidden/>
    <w:pPr>
      <w:tabs>
        <w:tab w:val="right" w:pos="7087"/>
      </w:tabs>
      <w:ind w:left="880"/>
    </w:pPr>
    <w:rPr>
      <w:sz w:val="20"/>
      <w:lang w:val="sv-SE"/>
    </w:rPr>
  </w:style>
  <w:style w:type="paragraph" w:styleId="Indholdsfortegnelse6">
    <w:name w:val="toc 6"/>
    <w:basedOn w:val="Normal"/>
    <w:next w:val="Normal"/>
    <w:autoRedefine/>
    <w:semiHidden/>
    <w:pPr>
      <w:tabs>
        <w:tab w:val="right" w:pos="7087"/>
      </w:tabs>
      <w:ind w:left="1100"/>
    </w:pPr>
    <w:rPr>
      <w:sz w:val="20"/>
      <w:lang w:val="sv-SE"/>
    </w:rPr>
  </w:style>
  <w:style w:type="paragraph" w:styleId="Indholdsfortegnelse7">
    <w:name w:val="toc 7"/>
    <w:basedOn w:val="Normal"/>
    <w:next w:val="Normal"/>
    <w:autoRedefine/>
    <w:semiHidden/>
    <w:pPr>
      <w:tabs>
        <w:tab w:val="right" w:pos="7087"/>
      </w:tabs>
      <w:ind w:left="1320"/>
    </w:pPr>
    <w:rPr>
      <w:sz w:val="20"/>
      <w:lang w:val="sv-SE"/>
    </w:rPr>
  </w:style>
  <w:style w:type="paragraph" w:styleId="Indholdsfortegnelse8">
    <w:name w:val="toc 8"/>
    <w:basedOn w:val="Normal"/>
    <w:next w:val="Normal"/>
    <w:autoRedefine/>
    <w:semiHidden/>
    <w:pPr>
      <w:tabs>
        <w:tab w:val="right" w:pos="7087"/>
      </w:tabs>
      <w:ind w:left="1540"/>
    </w:pPr>
    <w:rPr>
      <w:sz w:val="20"/>
      <w:lang w:val="sv-SE"/>
    </w:rPr>
  </w:style>
  <w:style w:type="paragraph" w:styleId="Indholdsfortegnelse9">
    <w:name w:val="toc 9"/>
    <w:basedOn w:val="Normal"/>
    <w:next w:val="Normal"/>
    <w:autoRedefine/>
    <w:semiHidden/>
    <w:pPr>
      <w:tabs>
        <w:tab w:val="right" w:pos="7087"/>
      </w:tabs>
      <w:ind w:left="1760"/>
    </w:pPr>
    <w:rPr>
      <w:sz w:val="20"/>
      <w:lang w:val="sv-SE"/>
    </w:rPr>
  </w:style>
  <w:style w:type="paragraph" w:customStyle="1" w:styleId="Ledetekst">
    <w:name w:val="Ledetekst"/>
    <w:basedOn w:val="Normal"/>
    <w:next w:val="Normal"/>
    <w:link w:val="LedetekstTegn"/>
    <w:rsid w:val="00BF26BC"/>
    <w:pPr>
      <w:keepNext/>
      <w:framePr w:w="1757" w:hSpace="283" w:wrap="notBeside" w:vAnchor="text" w:hAnchor="page" w:y="1"/>
      <w:suppressAutoHyphens/>
      <w:jc w:val="right"/>
    </w:pPr>
    <w:rPr>
      <w:rFonts w:ascii="Frutiger" w:hAnsi="Frutiger"/>
      <w:i/>
      <w:sz w:val="17"/>
    </w:rPr>
  </w:style>
  <w:style w:type="paragraph" w:customStyle="1" w:styleId="LedetekstTNS">
    <w:name w:val="LedetekstTNS"/>
    <w:basedOn w:val="Ledetekst"/>
    <w:next w:val="Normal"/>
    <w:pPr>
      <w:pageBreakBefore/>
      <w:framePr w:wrap="notBeside"/>
    </w:pPr>
  </w:style>
  <w:style w:type="paragraph" w:customStyle="1" w:styleId="LilleCelle">
    <w:name w:val="LilleCelle"/>
    <w:basedOn w:val="OversigtsTabelLille"/>
    <w:pPr>
      <w:jc w:val="right"/>
    </w:pPr>
  </w:style>
  <w:style w:type="paragraph" w:customStyle="1" w:styleId="LilleCelleMedLuft">
    <w:name w:val="LilleCelleMedLuft"/>
    <w:basedOn w:val="OversigtsTabelLille"/>
    <w:pPr>
      <w:spacing w:before="80"/>
      <w:jc w:val="right"/>
    </w:pPr>
  </w:style>
  <w:style w:type="paragraph" w:customStyle="1" w:styleId="LilleCelleStreg">
    <w:name w:val="LilleCelleStreg"/>
    <w:basedOn w:val="LilleCelleMedLuft"/>
    <w:pPr>
      <w:pBdr>
        <w:bottom w:val="single" w:sz="6" w:space="2" w:color="auto"/>
      </w:pBdr>
      <w:spacing w:before="0" w:after="60"/>
      <w:ind w:left="113"/>
      <w:jc w:val="center"/>
    </w:pPr>
  </w:style>
  <w:style w:type="paragraph" w:customStyle="1" w:styleId="LilleCelleMidtStreg">
    <w:name w:val="LilleCelleMidtStreg"/>
    <w:basedOn w:val="LilleCelleStreg"/>
    <w:pPr>
      <w:pBdr>
        <w:bottom w:val="single" w:sz="6" w:space="4" w:color="auto"/>
      </w:pBdr>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lang w:val="sv-SE"/>
    </w:rPr>
  </w:style>
  <w:style w:type="paragraph" w:styleId="Normalindrykning">
    <w:name w:val="Normal Indent"/>
    <w:basedOn w:val="Normal"/>
    <w:semiHidden/>
    <w:pPr>
      <w:ind w:left="1304"/>
    </w:pPr>
  </w:style>
  <w:style w:type="paragraph" w:customStyle="1" w:styleId="Oprems">
    <w:name w:val="Oprems"/>
    <w:basedOn w:val="Normal"/>
    <w:semiHidden/>
    <w:pPr>
      <w:spacing w:after="80"/>
      <w:jc w:val="left"/>
    </w:pPr>
  </w:style>
  <w:style w:type="paragraph" w:styleId="Opstilling-punkttegn">
    <w:name w:val="List Bullet"/>
    <w:basedOn w:val="Oprems"/>
    <w:autoRedefine/>
    <w:pPr>
      <w:numPr>
        <w:numId w:val="4"/>
      </w:numPr>
    </w:pPr>
  </w:style>
  <w:style w:type="paragraph" w:styleId="Opstilling-talellerbogst">
    <w:name w:val="List Number"/>
    <w:basedOn w:val="Oprems"/>
    <w:pPr>
      <w:ind w:left="357" w:hanging="357"/>
    </w:pPr>
  </w:style>
  <w:style w:type="character" w:customStyle="1" w:styleId="Personligmeddelelsesform">
    <w:name w:val="Personlig meddelelsesform"/>
    <w:semiHidden/>
    <w:rPr>
      <w:rFonts w:ascii="Arial" w:hAnsi="Arial" w:cs="Arial"/>
      <w:color w:val="auto"/>
      <w:sz w:val="20"/>
    </w:rPr>
  </w:style>
  <w:style w:type="character" w:customStyle="1" w:styleId="Personligsvarlayout">
    <w:name w:val="Personlig svarlayout"/>
    <w:semiHidden/>
    <w:rPr>
      <w:rFonts w:ascii="Arial" w:hAnsi="Arial" w:cs="Arial"/>
      <w:color w:val="auto"/>
      <w:sz w:val="20"/>
    </w:rPr>
  </w:style>
  <w:style w:type="paragraph" w:customStyle="1" w:styleId="Producentmening">
    <w:name w:val="Producentmening"/>
    <w:semiHidden/>
    <w:pPr>
      <w:spacing w:before="120"/>
    </w:pPr>
    <w:rPr>
      <w:rFonts w:ascii="Arial" w:hAnsi="Arial"/>
      <w:noProof/>
    </w:rPr>
  </w:style>
  <w:style w:type="paragraph" w:styleId="Sidefod">
    <w:name w:val="footer"/>
    <w:basedOn w:val="Normal"/>
    <w:pPr>
      <w:tabs>
        <w:tab w:val="left" w:pos="5273"/>
      </w:tabs>
    </w:pPr>
  </w:style>
  <w:style w:type="paragraph" w:styleId="Sidehoved">
    <w:name w:val="header"/>
    <w:basedOn w:val="Normal"/>
    <w:pPr>
      <w:tabs>
        <w:tab w:val="center" w:pos="4252"/>
        <w:tab w:val="right" w:pos="8504"/>
      </w:tabs>
      <w:ind w:left="-2552"/>
      <w:jc w:val="left"/>
    </w:pPr>
  </w:style>
  <w:style w:type="character" w:styleId="Sidetal">
    <w:name w:val="page number"/>
    <w:rPr>
      <w:rFonts w:ascii="Frutiger" w:hAnsi="Frutiger"/>
      <w:sz w:val="22"/>
      <w:u w:val="none"/>
    </w:rPr>
  </w:style>
  <w:style w:type="paragraph" w:styleId="Slutnotetekst">
    <w:name w:val="endnote text"/>
    <w:basedOn w:val="Fodnotetekst"/>
    <w:semiHidden/>
  </w:style>
  <w:style w:type="paragraph" w:customStyle="1" w:styleId="StdCelle">
    <w:name w:val="StdCelle"/>
    <w:basedOn w:val="OversigtsTabelStd"/>
    <w:pPr>
      <w:jc w:val="right"/>
    </w:pPr>
  </w:style>
  <w:style w:type="paragraph" w:customStyle="1" w:styleId="StdCelleMedLuft">
    <w:name w:val="StdCelleMedLuft"/>
    <w:basedOn w:val="OversigtsTabelStd"/>
    <w:pPr>
      <w:spacing w:before="80"/>
      <w:jc w:val="right"/>
    </w:pPr>
  </w:style>
  <w:style w:type="paragraph" w:customStyle="1" w:styleId="StdCelleStreg">
    <w:name w:val="StdCelleStreg"/>
    <w:basedOn w:val="OversigtsTabelStd"/>
    <w:pPr>
      <w:pBdr>
        <w:bottom w:val="single" w:sz="6" w:space="3" w:color="auto"/>
      </w:pBdr>
      <w:spacing w:after="60"/>
      <w:ind w:left="113"/>
      <w:jc w:val="center"/>
    </w:pPr>
  </w:style>
  <w:style w:type="paragraph" w:customStyle="1" w:styleId="StdCelleMidtStreg">
    <w:name w:val="StdCelleMidtStreg"/>
    <w:basedOn w:val="StdCelleStreg"/>
    <w:pPr>
      <w:pBdr>
        <w:bottom w:val="single" w:sz="6" w:space="6" w:color="auto"/>
      </w:pBdr>
    </w:pPr>
  </w:style>
  <w:style w:type="paragraph" w:customStyle="1" w:styleId="Tabeloverskrift">
    <w:name w:val="Tabeloverskrift"/>
    <w:basedOn w:val="Normal"/>
    <w:next w:val="Normal"/>
    <w:rsid w:val="00537CBC"/>
    <w:pPr>
      <w:keepNext/>
      <w:keepLines/>
      <w:spacing w:after="80"/>
      <w:jc w:val="left"/>
    </w:pPr>
    <w:rPr>
      <w:rFonts w:ascii="Frutiger Cn" w:hAnsi="Frutiger Cn"/>
      <w:b/>
    </w:rPr>
  </w:style>
  <w:style w:type="paragraph" w:customStyle="1" w:styleId="TabTitel">
    <w:name w:val="TabTitel"/>
    <w:basedOn w:val="Normal"/>
    <w:next w:val="Normal"/>
    <w:pPr>
      <w:keepNext/>
      <w:keepLines/>
      <w:tabs>
        <w:tab w:val="left" w:pos="2041"/>
      </w:tabs>
      <w:spacing w:after="80"/>
      <w:ind w:left="2041" w:hanging="2041"/>
      <w:jc w:val="left"/>
    </w:pPr>
    <w:rPr>
      <w:rFonts w:ascii="Frutiger Cn" w:hAnsi="Frutiger Cn"/>
      <w:b/>
    </w:rPr>
  </w:style>
  <w:style w:type="character" w:customStyle="1" w:styleId="udpunkt">
    <w:name w:val="udpunkt"/>
    <w:rPr>
      <w:rFonts w:ascii="Frutiger Cn" w:hAnsi="Frutiger Cn"/>
      <w:color w:val="000000"/>
      <w:spacing w:val="40"/>
      <w:w w:val="100"/>
      <w:sz w:val="14"/>
    </w:rPr>
  </w:style>
  <w:style w:type="paragraph" w:customStyle="1" w:styleId="NytDetail">
    <w:name w:val="NytDetail"/>
    <w:semiHidden/>
    <w:pPr>
      <w:tabs>
        <w:tab w:val="left" w:pos="-2835"/>
        <w:tab w:val="left" w:pos="-1985"/>
      </w:tabs>
      <w:spacing w:before="80"/>
      <w:ind w:left="-3005"/>
    </w:pPr>
    <w:rPr>
      <w:rFonts w:ascii="Frutiger" w:hAnsi="Frutiger"/>
      <w:iCs/>
      <w:sz w:val="18"/>
      <w:lang w:eastAsia="en-US"/>
    </w:rPr>
  </w:style>
  <w:style w:type="paragraph" w:customStyle="1" w:styleId="NytFra">
    <w:name w:val="NytFra"/>
    <w:next w:val="NytDetail"/>
    <w:semiHidden/>
    <w:pPr>
      <w:spacing w:after="480"/>
      <w:ind w:left="-3005"/>
    </w:pPr>
    <w:rPr>
      <w:rFonts w:ascii="Frutiger" w:hAnsi="Frutiger"/>
      <w:b/>
      <w:i/>
      <w:caps/>
      <w:sz w:val="24"/>
      <w:lang w:eastAsia="en-US"/>
    </w:rPr>
  </w:style>
  <w:style w:type="paragraph" w:customStyle="1" w:styleId="NytHeader">
    <w:name w:val="NytHeader"/>
    <w:next w:val="NytFra"/>
    <w:semiHidden/>
    <w:pPr>
      <w:spacing w:before="720" w:line="860" w:lineRule="exact"/>
      <w:ind w:left="-3005"/>
    </w:pPr>
    <w:rPr>
      <w:rFonts w:ascii="Frutiger" w:hAnsi="Frutiger"/>
      <w:b/>
      <w:i/>
      <w:caps/>
      <w:color w:val="008000"/>
      <w:sz w:val="188"/>
      <w:lang w:eastAsia="en-US"/>
    </w:rPr>
  </w:style>
  <w:style w:type="paragraph" w:customStyle="1" w:styleId="abstract">
    <w:name w:val="abstract"/>
    <w:basedOn w:val="Normal"/>
    <w:pPr>
      <w:pBdr>
        <w:top w:val="single" w:sz="6" w:space="4" w:color="000000"/>
        <w:bottom w:val="single" w:sz="6" w:space="4" w:color="000000"/>
      </w:pBdr>
    </w:pPr>
    <w:rPr>
      <w:rFonts w:ascii="Frutiger Light" w:hAnsi="Frutiger Light"/>
      <w:sz w:val="18"/>
    </w:rPr>
  </w:style>
  <w:style w:type="character" w:styleId="Hyperlink">
    <w:name w:val="Hyperlink"/>
    <w:semiHidden/>
    <w:rPr>
      <w:color w:val="auto"/>
      <w:u w:val="single"/>
    </w:rPr>
  </w:style>
  <w:style w:type="character" w:customStyle="1" w:styleId="BesgtHyperlink1">
    <w:name w:val="BesøgtHyperlink1"/>
    <w:semiHidden/>
    <w:rPr>
      <w:color w:val="auto"/>
      <w:u w:val="single"/>
    </w:rPr>
  </w:style>
  <w:style w:type="character" w:styleId="HTML-variabel">
    <w:name w:val="HTML Variable"/>
    <w:semiHidden/>
    <w:rPr>
      <w:i/>
      <w:iCs/>
    </w:rPr>
  </w:style>
  <w:style w:type="paragraph" w:customStyle="1" w:styleId="MellemRubrik">
    <w:name w:val="MellemRubrik"/>
    <w:basedOn w:val="Overskrift2"/>
    <w:rsid w:val="009A2218"/>
    <w:pPr>
      <w:spacing w:before="0" w:after="20"/>
    </w:pPr>
  </w:style>
  <w:style w:type="paragraph" w:customStyle="1" w:styleId="FigurOverskrift">
    <w:name w:val="FigurOverskrift"/>
    <w:basedOn w:val="Titel"/>
    <w:rsid w:val="00C22579"/>
    <w:pPr>
      <w:spacing w:before="0" w:after="60"/>
    </w:pPr>
    <w:rPr>
      <w:rFonts w:ascii="Frutiger Cn" w:hAnsi="Frutiger Cn"/>
      <w:b w:val="0"/>
      <w:sz w:val="20"/>
    </w:rPr>
  </w:style>
  <w:style w:type="character" w:customStyle="1" w:styleId="Overskrift1Tegn">
    <w:name w:val="Overskrift 1 Tegn"/>
    <w:link w:val="Overskrift1"/>
    <w:rsid w:val="003F0C8E"/>
    <w:rPr>
      <w:rFonts w:ascii="Frutiger" w:hAnsi="Frutiger"/>
      <w:b/>
      <w:sz w:val="22"/>
    </w:rPr>
  </w:style>
  <w:style w:type="paragraph" w:styleId="Markeringsbobletekst">
    <w:name w:val="Balloon Text"/>
    <w:basedOn w:val="Normal"/>
    <w:link w:val="MarkeringsbobletekstTegn"/>
    <w:uiPriority w:val="99"/>
    <w:semiHidden/>
    <w:unhideWhenUsed/>
    <w:rsid w:val="002414C9"/>
    <w:rPr>
      <w:rFonts w:ascii="Tahoma" w:hAnsi="Tahoma" w:cs="Tahoma"/>
      <w:sz w:val="16"/>
      <w:szCs w:val="16"/>
    </w:rPr>
  </w:style>
  <w:style w:type="character" w:customStyle="1" w:styleId="MarkeringsbobletekstTegn">
    <w:name w:val="Markeringsbobletekst Tegn"/>
    <w:link w:val="Markeringsbobletekst"/>
    <w:uiPriority w:val="99"/>
    <w:semiHidden/>
    <w:rsid w:val="002414C9"/>
    <w:rPr>
      <w:rFonts w:ascii="Tahoma" w:hAnsi="Tahoma" w:cs="Tahoma"/>
      <w:sz w:val="16"/>
      <w:szCs w:val="16"/>
    </w:rPr>
  </w:style>
  <w:style w:type="character" w:customStyle="1" w:styleId="LedetekstTegn">
    <w:name w:val="Ledetekst Tegn"/>
    <w:link w:val="Ledetekst"/>
    <w:rsid w:val="00AC37B3"/>
    <w:rPr>
      <w:rFonts w:ascii="Frutiger" w:hAnsi="Frutiger"/>
      <w:i/>
      <w:sz w:val="17"/>
    </w:rPr>
  </w:style>
  <w:style w:type="character" w:styleId="Fremhv">
    <w:name w:val="Emphasis"/>
    <w:basedOn w:val="Standardskrifttypeiafsnit"/>
    <w:uiPriority w:val="20"/>
    <w:qFormat/>
    <w:rsid w:val="001C1B61"/>
    <w:rPr>
      <w:i/>
      <w:iCs/>
    </w:rPr>
  </w:style>
  <w:style w:type="paragraph" w:styleId="Listeafsnit">
    <w:name w:val="List Paragraph"/>
    <w:basedOn w:val="Normal"/>
    <w:uiPriority w:val="34"/>
    <w:qFormat/>
    <w:rsid w:val="00914F27"/>
    <w:pPr>
      <w:ind w:left="720"/>
      <w:contextualSpacing/>
    </w:pPr>
  </w:style>
  <w:style w:type="character" w:styleId="Kommentarhenvisning">
    <w:name w:val="annotation reference"/>
    <w:basedOn w:val="Standardskrifttypeiafsnit"/>
    <w:uiPriority w:val="99"/>
    <w:semiHidden/>
    <w:unhideWhenUsed/>
    <w:rsid w:val="005B10B1"/>
    <w:rPr>
      <w:sz w:val="16"/>
      <w:szCs w:val="16"/>
    </w:rPr>
  </w:style>
  <w:style w:type="paragraph" w:styleId="Kommentartekst">
    <w:name w:val="annotation text"/>
    <w:basedOn w:val="Normal"/>
    <w:link w:val="KommentartekstTegn"/>
    <w:uiPriority w:val="99"/>
    <w:semiHidden/>
    <w:unhideWhenUsed/>
    <w:rsid w:val="005B10B1"/>
    <w:rPr>
      <w:sz w:val="20"/>
    </w:rPr>
  </w:style>
  <w:style w:type="character" w:customStyle="1" w:styleId="KommentartekstTegn">
    <w:name w:val="Kommentartekst Tegn"/>
    <w:basedOn w:val="Standardskrifttypeiafsnit"/>
    <w:link w:val="Kommentartekst"/>
    <w:uiPriority w:val="99"/>
    <w:semiHidden/>
    <w:rsid w:val="005B10B1"/>
    <w:rPr>
      <w:rFonts w:ascii="Charter" w:hAnsi="Charter"/>
    </w:rPr>
  </w:style>
  <w:style w:type="paragraph" w:styleId="Kommentaremne">
    <w:name w:val="annotation subject"/>
    <w:basedOn w:val="Kommentartekst"/>
    <w:next w:val="Kommentartekst"/>
    <w:link w:val="KommentaremneTegn"/>
    <w:uiPriority w:val="99"/>
    <w:semiHidden/>
    <w:unhideWhenUsed/>
    <w:rsid w:val="005B10B1"/>
    <w:rPr>
      <w:b/>
      <w:bCs/>
    </w:rPr>
  </w:style>
  <w:style w:type="character" w:customStyle="1" w:styleId="KommentaremneTegn">
    <w:name w:val="Kommentaremne Tegn"/>
    <w:basedOn w:val="KommentartekstTegn"/>
    <w:link w:val="Kommentaremne"/>
    <w:uiPriority w:val="99"/>
    <w:semiHidden/>
    <w:rsid w:val="005B10B1"/>
    <w:rPr>
      <w:rFonts w:ascii="Charter" w:hAnsi="Charter"/>
      <w:b/>
      <w:bCs/>
    </w:rPr>
  </w:style>
  <w:style w:type="paragraph" w:styleId="Korrektur">
    <w:name w:val="Revision"/>
    <w:hidden/>
    <w:uiPriority w:val="99"/>
    <w:semiHidden/>
    <w:rsid w:val="005B10B1"/>
    <w:rPr>
      <w:rFonts w:ascii="Charter" w:hAnsi="Charter"/>
      <w:sz w:val="19"/>
    </w:rPr>
  </w:style>
  <w:style w:type="table" w:styleId="Tabel-Gitter">
    <w:name w:val="Table Grid"/>
    <w:basedOn w:val="Tabel-Normal"/>
    <w:uiPriority w:val="59"/>
    <w:rsid w:val="001B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8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atistikbanken.dk"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C76C9-5396-4261-9F1E-C37B2588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dspubl.dotm</Template>
  <TotalTime>1</TotalTime>
  <Pages>9</Pages>
  <Words>2086</Words>
  <Characters>13737</Characters>
  <Application>Microsoft Office Word</Application>
  <DocSecurity>4</DocSecurity>
  <Lines>114</Lines>
  <Paragraphs>31</Paragraphs>
  <ScaleCrop>false</ScaleCrop>
  <HeadingPairs>
    <vt:vector size="2" baseType="variant">
      <vt:variant>
        <vt:lpstr>Titel</vt:lpstr>
      </vt:variant>
      <vt:variant>
        <vt:i4>1</vt:i4>
      </vt:variant>
    </vt:vector>
  </HeadingPairs>
  <TitlesOfParts>
    <vt:vector size="1" baseType="lpstr">
      <vt:lpstr>1</vt:lpstr>
    </vt:vector>
  </TitlesOfParts>
  <Company>Danmarks Statistik</Company>
  <LinksUpToDate>false</LinksUpToDate>
  <CharactersWithSpaces>15792</CharactersWithSpaces>
  <SharedDoc>false</SharedDoc>
  <HLinks>
    <vt:vector size="6" baseType="variant">
      <vt:variant>
        <vt:i4>6291558</vt:i4>
      </vt:variant>
      <vt:variant>
        <vt:i4>0</vt:i4>
      </vt:variant>
      <vt:variant>
        <vt:i4>0</vt:i4>
      </vt:variant>
      <vt:variant>
        <vt:i4>5</vt:i4>
      </vt:variant>
      <vt:variant>
        <vt:lpwstr>http://www.statistikbanken.dk/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Per Svensson</dc:creator>
  <cp:lastModifiedBy>Anette Hertz</cp:lastModifiedBy>
  <cp:revision>2</cp:revision>
  <cp:lastPrinted>2012-03-05T12:33:00Z</cp:lastPrinted>
  <dcterms:created xsi:type="dcterms:W3CDTF">2020-05-06T10:17:00Z</dcterms:created>
  <dcterms:modified xsi:type="dcterms:W3CDTF">2020-05-06T10:17:00Z</dcterms:modified>
</cp:coreProperties>
</file>